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C15E73" w:rsidRPr="00F70031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C15E73" w:rsidRPr="00F70031" w:rsidRDefault="00C15E7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C15E73" w:rsidRPr="00F70031" w:rsidRDefault="00C15E7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C15E73" w:rsidRPr="00F70031" w:rsidRDefault="00C15E7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C15E73" w:rsidRPr="00F70031" w:rsidRDefault="00C15E7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C15E73" w:rsidRPr="00F70031" w:rsidRDefault="00C15E73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>
      <w:pPr>
        <w:rPr>
          <w:b/>
        </w:rPr>
      </w:pPr>
    </w:p>
    <w:p w:rsidR="00C15E73" w:rsidRPr="00F70031" w:rsidRDefault="00C15E73" w:rsidP="00C15E73">
      <w:pPr>
        <w:rPr>
          <w:b/>
        </w:rPr>
      </w:pPr>
    </w:p>
    <w:p w:rsidR="00C15E73" w:rsidRPr="00F70031" w:rsidRDefault="00C15E73" w:rsidP="00C15E73">
      <w:pPr>
        <w:rPr>
          <w:b/>
        </w:rPr>
      </w:pPr>
    </w:p>
    <w:p w:rsidR="00C15E73" w:rsidRPr="00F70031" w:rsidRDefault="00C15E73" w:rsidP="00C15E73">
      <w:pPr>
        <w:rPr>
          <w:b/>
        </w:rPr>
      </w:pPr>
    </w:p>
    <w:p w:rsidR="00C15E73" w:rsidRPr="00F70031" w:rsidRDefault="00C15E73" w:rsidP="00C15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F70031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C15E73" w:rsidRPr="00F70031" w:rsidRDefault="00C15E73" w:rsidP="00C15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E73" w:rsidRPr="00F70031" w:rsidRDefault="00C15E73" w:rsidP="00C15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C15E73" w:rsidRPr="00F70031" w:rsidRDefault="00C15E73" w:rsidP="00C15E73">
      <w:pPr>
        <w:spacing w:before="120" w:after="60" w:line="240" w:lineRule="auto"/>
        <w:jc w:val="center"/>
        <w:outlineLvl w:val="2"/>
        <w:rPr>
          <w:rFonts w:ascii="Times New Roman" w:eastAsia="MS Mincho" w:hAnsi="Times New Roman" w:cs="Times New Roman"/>
          <w:i/>
          <w:caps/>
          <w:sz w:val="24"/>
          <w:szCs w:val="24"/>
          <w:lang w:eastAsia="ja-JP"/>
        </w:rPr>
      </w:pPr>
      <w:r w:rsidRPr="00F70031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герпесвірусну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інфекцію.</w:t>
      </w:r>
    </w:p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>
      <w:pPr>
        <w:rPr>
          <w:lang w:val="ru-RU"/>
        </w:rPr>
      </w:pPr>
    </w:p>
    <w:p w:rsidR="00C15E73" w:rsidRPr="00F70031" w:rsidRDefault="00C15E73" w:rsidP="00C15E73">
      <w:pPr>
        <w:rPr>
          <w:lang w:val="ru-RU"/>
        </w:rPr>
      </w:pPr>
    </w:p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/>
    <w:p w:rsidR="00C15E73" w:rsidRPr="00F70031" w:rsidRDefault="00C15E73" w:rsidP="00C15E73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C15E73" w:rsidRPr="00F70031" w:rsidRDefault="00C15E73" w:rsidP="00C15E7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F70031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1E5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герпесвірусну</w:t>
      </w:r>
      <w:proofErr w:type="spellEnd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інфекцію.</w:t>
      </w:r>
    </w:p>
    <w:p w:rsidR="00C15E73" w:rsidRPr="00C15E73" w:rsidRDefault="00C15E73" w:rsidP="00C15E7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</w:rPr>
        <w:t xml:space="preserve"> Шифр </w:t>
      </w:r>
      <w:r w:rsidRPr="00F70031">
        <w:rPr>
          <w:rFonts w:ascii="Times New Roman" w:hAnsi="Times New Roman" w:cs="Times New Roman"/>
          <w:b/>
          <w:sz w:val="24"/>
          <w:szCs w:val="24"/>
        </w:rPr>
        <w:t>МКХ -10: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50FC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15E73" w:rsidRPr="00C15E73" w:rsidRDefault="00C15E73" w:rsidP="00C15E73">
      <w:pPr>
        <w:pStyle w:val="a5"/>
        <w:numPr>
          <w:ilvl w:val="0"/>
          <w:numId w:val="1"/>
        </w:numPr>
        <w:spacing w:after="0"/>
        <w:ind w:left="851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5E73">
        <w:rPr>
          <w:rFonts w:ascii="Times New Roman" w:hAnsi="Times New Roman" w:cs="Times New Roman"/>
          <w:sz w:val="24"/>
          <w:szCs w:val="24"/>
        </w:rPr>
        <w:t xml:space="preserve">А.60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Аногенітальні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герпесвірусні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 xml:space="preserve"> інфекції, </w:t>
      </w:r>
    </w:p>
    <w:p w:rsidR="00C15E73" w:rsidRPr="00C15E73" w:rsidRDefault="00C15E73" w:rsidP="00C15E73">
      <w:pPr>
        <w:pStyle w:val="a5"/>
        <w:numPr>
          <w:ilvl w:val="0"/>
          <w:numId w:val="1"/>
        </w:numPr>
        <w:spacing w:after="0"/>
        <w:ind w:left="851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5E73">
        <w:rPr>
          <w:rFonts w:ascii="Times New Roman" w:hAnsi="Times New Roman" w:cs="Times New Roman"/>
          <w:sz w:val="24"/>
          <w:szCs w:val="24"/>
        </w:rPr>
        <w:t xml:space="preserve">А.60.0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герпесвірусна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 xml:space="preserve"> інфекція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генітальна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урогенітальна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>,</w:t>
      </w:r>
    </w:p>
    <w:p w:rsidR="00C15E73" w:rsidRPr="00C15E73" w:rsidRDefault="00C15E73" w:rsidP="00C15E73">
      <w:pPr>
        <w:pStyle w:val="a5"/>
        <w:numPr>
          <w:ilvl w:val="0"/>
          <w:numId w:val="1"/>
        </w:numPr>
        <w:spacing w:after="0"/>
        <w:ind w:left="851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5E73">
        <w:rPr>
          <w:rFonts w:ascii="Times New Roman" w:hAnsi="Times New Roman" w:cs="Times New Roman"/>
          <w:sz w:val="24"/>
          <w:szCs w:val="24"/>
        </w:rPr>
        <w:t xml:space="preserve">А.60.1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герпес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 xml:space="preserve"> анальної та прямої кишки, </w:t>
      </w:r>
    </w:p>
    <w:p w:rsidR="00C15E73" w:rsidRPr="00C15E73" w:rsidRDefault="00C15E73" w:rsidP="00C15E73">
      <w:pPr>
        <w:pStyle w:val="a5"/>
        <w:numPr>
          <w:ilvl w:val="0"/>
          <w:numId w:val="1"/>
        </w:numPr>
        <w:spacing w:after="0"/>
        <w:ind w:left="851" w:right="-2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C15E73">
        <w:rPr>
          <w:rFonts w:ascii="Times New Roman" w:hAnsi="Times New Roman" w:cs="Times New Roman"/>
          <w:sz w:val="24"/>
          <w:szCs w:val="24"/>
        </w:rPr>
        <w:t xml:space="preserve">А.60.9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герпес</w:t>
      </w:r>
      <w:proofErr w:type="spellEnd"/>
      <w:r w:rsidRPr="00C15E73">
        <w:rPr>
          <w:rFonts w:ascii="Times New Roman" w:hAnsi="Times New Roman" w:cs="Times New Roman"/>
          <w:sz w:val="24"/>
          <w:szCs w:val="24"/>
        </w:rPr>
        <w:t xml:space="preserve"> анальної ділянки та статевих органів, </w:t>
      </w:r>
      <w:proofErr w:type="spellStart"/>
      <w:r w:rsidRPr="00C15E73">
        <w:rPr>
          <w:rFonts w:ascii="Times New Roman" w:hAnsi="Times New Roman" w:cs="Times New Roman"/>
          <w:sz w:val="24"/>
          <w:szCs w:val="24"/>
        </w:rPr>
        <w:t>неуточнений</w:t>
      </w:r>
      <w:proofErr w:type="spellEnd"/>
    </w:p>
    <w:p w:rsidR="00C15E73" w:rsidRPr="00F70031" w:rsidRDefault="00C15E73" w:rsidP="00C15E7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C15E73" w:rsidRPr="00F70031" w:rsidRDefault="00C15E73" w:rsidP="00C15E7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C15E73" w:rsidRPr="00F70031" w:rsidRDefault="00C15E73" w:rsidP="00C15E7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C15E73" w:rsidRPr="00F70031" w:rsidRDefault="00C15E73" w:rsidP="00C15E7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C15E73" w:rsidRPr="00F70031" w:rsidTr="00A613AF">
        <w:tc>
          <w:tcPr>
            <w:tcW w:w="4851" w:type="dxa"/>
          </w:tcPr>
          <w:p w:rsidR="00C15E73" w:rsidRPr="00F70031" w:rsidRDefault="00C15E73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C15E73" w:rsidRPr="00F70031" w:rsidRDefault="00C15E73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C15E73" w:rsidRPr="00F70031" w:rsidTr="00A613AF">
        <w:tc>
          <w:tcPr>
            <w:tcW w:w="4851" w:type="dxa"/>
          </w:tcPr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В.М.</w:t>
            </w:r>
          </w:p>
        </w:tc>
        <w:tc>
          <w:tcPr>
            <w:tcW w:w="4644" w:type="dxa"/>
          </w:tcPr>
          <w:p w:rsidR="00C15E73" w:rsidRPr="00F70031" w:rsidRDefault="00C15E73" w:rsidP="00C1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  <w:tr w:rsidR="00C15E73" w:rsidRPr="00F70031" w:rsidTr="00A613AF">
        <w:tc>
          <w:tcPr>
            <w:tcW w:w="4851" w:type="dxa"/>
          </w:tcPr>
          <w:p w:rsidR="00C15E73" w:rsidRPr="00F70031" w:rsidRDefault="00C15E73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</w:p>
        </w:tc>
        <w:tc>
          <w:tcPr>
            <w:tcW w:w="4644" w:type="dxa"/>
          </w:tcPr>
          <w:p w:rsidR="00C15E73" w:rsidRDefault="00C15E73" w:rsidP="00C15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Лікар-дерматовенеролог</w:t>
            </w:r>
            <w:proofErr w:type="spellEnd"/>
          </w:p>
        </w:tc>
      </w:tr>
    </w:tbl>
    <w:p w:rsidR="00C15E73" w:rsidRPr="00F70031" w:rsidRDefault="00C15E73" w:rsidP="00C15E73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C15E73" w:rsidRPr="00F70031" w:rsidRDefault="00C15E73" w:rsidP="00C15E73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73" w:rsidRDefault="007B6E55" w:rsidP="00C15E7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C15E73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08.05.2009 № 312 «Про затвердження клінічних протоколів надання медичної допомоги хворим на </w:t>
        </w:r>
        <w:proofErr w:type="spellStart"/>
        <w:r w:rsidR="00C15E73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дерматовенерологічні</w:t>
        </w:r>
        <w:proofErr w:type="spellEnd"/>
        <w:r w:rsidR="00C15E73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захворювання»</w:t>
        </w:r>
      </w:hyperlink>
      <w:r w:rsidR="00C15E73" w:rsidRPr="00C15E73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:rsidR="00C15E73" w:rsidRPr="00C15E73" w:rsidRDefault="007B6E55" w:rsidP="00C15E7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C15E73" w:rsidRPr="00C15E73">
          <w:rPr>
            <w:rFonts w:ascii="Times New Roman" w:hAnsi="Times New Roman" w:cs="Times New Roman"/>
            <w:b/>
            <w:sz w:val="24"/>
            <w:szCs w:val="24"/>
          </w:rPr>
          <w:t xml:space="preserve">Наказ МОЗ України від 07.06.2004 № 286 </w:t>
        </w:r>
        <w:r w:rsidR="00C15E73">
          <w:rPr>
            <w:rFonts w:ascii="Times New Roman" w:hAnsi="Times New Roman" w:cs="Times New Roman"/>
            <w:b/>
            <w:sz w:val="24"/>
            <w:szCs w:val="24"/>
          </w:rPr>
          <w:t xml:space="preserve">«Про удосконалення </w:t>
        </w:r>
        <w:proofErr w:type="spellStart"/>
        <w:r w:rsidR="00C15E73" w:rsidRPr="00C15E73">
          <w:rPr>
            <w:rFonts w:ascii="Times New Roman" w:hAnsi="Times New Roman" w:cs="Times New Roman"/>
            <w:b/>
            <w:sz w:val="24"/>
            <w:szCs w:val="24"/>
          </w:rPr>
          <w:t>дерматовенерологічної</w:t>
        </w:r>
        <w:proofErr w:type="spellEnd"/>
        <w:r w:rsidR="00C15E73" w:rsidRPr="00C15E73">
          <w:rPr>
            <w:rFonts w:ascii="Times New Roman" w:hAnsi="Times New Roman" w:cs="Times New Roman"/>
            <w:b/>
            <w:sz w:val="24"/>
            <w:szCs w:val="24"/>
          </w:rPr>
          <w:t xml:space="preserve"> допомоги населенню України»;</w:t>
        </w:r>
      </w:hyperlink>
    </w:p>
    <w:p w:rsidR="00C15E73" w:rsidRPr="00F70031" w:rsidRDefault="00C15E73" w:rsidP="00C15E7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70031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C15E73" w:rsidRPr="00F70031" w:rsidRDefault="00C15E73" w:rsidP="00C15E7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F70031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F70031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C15E73" w:rsidRPr="00F70031" w:rsidRDefault="00C15E73" w:rsidP="00C15E7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E73" w:rsidRPr="00F70031" w:rsidRDefault="00C15E73" w:rsidP="00C15E73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031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C15E73" w:rsidRPr="00F70031" w:rsidRDefault="00C15E73" w:rsidP="00C15E7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C15E73" w:rsidRPr="00F70031" w:rsidTr="00A613AF">
        <w:tc>
          <w:tcPr>
            <w:tcW w:w="1668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C15E73" w:rsidRPr="00F70031" w:rsidRDefault="00C15E7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C15E73" w:rsidRPr="00F70031" w:rsidRDefault="00C15E7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C15E73" w:rsidRPr="00F70031" w:rsidRDefault="00C15E7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C15E73" w:rsidRPr="00F70031" w:rsidRDefault="00C15E73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C15E73" w:rsidRPr="00F70031" w:rsidTr="00A613AF">
        <w:tc>
          <w:tcPr>
            <w:tcW w:w="1668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Надання допомоги </w:t>
            </w:r>
            <w:proofErr w:type="spellStart"/>
            <w:r w:rsidR="005A5F19">
              <w:rPr>
                <w:rFonts w:ascii="Times New Roman" w:hAnsi="Times New Roman" w:cs="Times New Roman"/>
                <w:sz w:val="24"/>
                <w:szCs w:val="24"/>
              </w:rPr>
              <w:t>лікарем-дермавенерологом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</w:t>
            </w:r>
            <w:proofErr w:type="spellStart"/>
            <w:r w:rsidR="005A5F19" w:rsidRPr="00F70031">
              <w:rPr>
                <w:rFonts w:ascii="Times New Roman" w:hAnsi="Times New Roman" w:cs="Times New Roman"/>
                <w:sz w:val="24"/>
                <w:szCs w:val="24"/>
              </w:rPr>
              <w:t>лікаря-</w:t>
            </w:r>
            <w:r w:rsidR="005A5F19">
              <w:rPr>
                <w:rFonts w:ascii="Times New Roman" w:hAnsi="Times New Roman" w:cs="Times New Roman"/>
                <w:sz w:val="24"/>
                <w:szCs w:val="24"/>
              </w:rPr>
              <w:t>дермавенеролога</w:t>
            </w:r>
            <w:proofErr w:type="spellEnd"/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3.Оформлення </w:t>
            </w:r>
            <w:proofErr w:type="spellStart"/>
            <w:r w:rsidR="005A5F19" w:rsidRPr="00F70031">
              <w:rPr>
                <w:rFonts w:ascii="Times New Roman" w:hAnsi="Times New Roman" w:cs="Times New Roman"/>
                <w:sz w:val="24"/>
                <w:szCs w:val="24"/>
              </w:rPr>
              <w:t>лікарем-</w:t>
            </w:r>
            <w:r w:rsidR="005A5F19">
              <w:rPr>
                <w:rFonts w:ascii="Times New Roman" w:hAnsi="Times New Roman" w:cs="Times New Roman"/>
                <w:sz w:val="24"/>
                <w:szCs w:val="24"/>
              </w:rPr>
              <w:t>дермавенерологом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знеболення форми 003-6/о;</w:t>
            </w: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C15E73" w:rsidRPr="00F70031" w:rsidRDefault="00C15E73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15E73" w:rsidRPr="00F70031" w:rsidRDefault="00C15E73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п.5; п.6 – до </w:t>
            </w:r>
            <w:r w:rsidRPr="00F70031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Реєстратор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дерматовенеролог</w:t>
            </w:r>
            <w:proofErr w:type="spellEnd"/>
          </w:p>
          <w:p w:rsidR="00C15E73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C15E73" w:rsidRPr="00F70031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F700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C15E73" w:rsidRPr="00F70031" w:rsidTr="00A613AF">
        <w:tc>
          <w:tcPr>
            <w:tcW w:w="1668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Клінічна діагностика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Класично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генітальний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герпес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 бути розпізнаний за наявністю типових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папульозних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висипань, що розвиваються в пухирці і виразки, і асоціюються з місцевим лімфаденітом, а у випадку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рецидивуючих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вогнищ - з продромальними симптомами. 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 діагностика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E73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C15E73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C15E73" w:rsidRPr="00F70031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C15E73" w:rsidRPr="00F70031" w:rsidTr="00A613AF">
        <w:tc>
          <w:tcPr>
            <w:tcW w:w="1668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260" w:type="dxa"/>
          </w:tcPr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5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початку терапії досить тільки клінічної підозри.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Антивірусні препарати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Ацикловір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валацикловір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Місцеве лікування 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Ацикловір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крем</w:t>
            </w: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</w:t>
            </w:r>
            <w:r w:rsidRPr="00C15E7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Крем не слід наносити на слизові оболонки порожнини роту, ока, піхви.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Лікування вагітної жінки повинне бути співвіднесене з її клінічним станом і часто вимагає прийому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ацикловіру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стандартних дозах або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перорально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або внутрішньовенно. 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Госпіталізація може знадобитися при: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затримці сечі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менінгітному симптомі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важких конституціональних симптомах</w:t>
            </w:r>
          </w:p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несприятливих соціальних обставинах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5-15 діб. Для закріплення терапевтичного ефекту у хворих з частими рецидивами захворювання проводять тривале лікування </w:t>
            </w:r>
            <w:proofErr w:type="spellStart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ацикловіром</w:t>
            </w:r>
            <w:proofErr w:type="spellEnd"/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(3-18 місяців) амбулаторно.</w:t>
            </w:r>
          </w:p>
          <w:p w:rsidR="00C15E73" w:rsidRPr="00C15E73" w:rsidRDefault="00C15E73" w:rsidP="00A61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15E73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дерматовенеролог</w:t>
            </w:r>
            <w:proofErr w:type="spellEnd"/>
          </w:p>
          <w:p w:rsidR="00C15E73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В.М.;</w:t>
            </w:r>
          </w:p>
          <w:p w:rsidR="00C15E73" w:rsidRPr="00F70031" w:rsidRDefault="00C15E73" w:rsidP="00C15E7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меншення частоти рецидивів, клінічне одужання.</w:t>
            </w:r>
          </w:p>
        </w:tc>
      </w:tr>
      <w:tr w:rsidR="00C15E73" w:rsidRPr="00F70031" w:rsidTr="00A613AF">
        <w:tc>
          <w:tcPr>
            <w:tcW w:w="1668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t>Реабілітація</w:t>
            </w:r>
          </w:p>
        </w:tc>
        <w:tc>
          <w:tcPr>
            <w:tcW w:w="3260" w:type="dxa"/>
          </w:tcPr>
          <w:p w:rsidR="00C15E73" w:rsidRPr="00C15E73" w:rsidRDefault="00C15E73" w:rsidP="00A613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hAnsi="Times New Roman" w:cs="Times New Roman"/>
                <w:sz w:val="24"/>
                <w:szCs w:val="24"/>
              </w:rPr>
              <w:t>Особливих вимог до режиму праці та відпочинку, реабілітації немає.</w:t>
            </w:r>
          </w:p>
        </w:tc>
        <w:tc>
          <w:tcPr>
            <w:tcW w:w="1843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5E73" w:rsidRPr="00F70031" w:rsidRDefault="00C15E73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6610E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C15E73" w:rsidRPr="00F70031" w:rsidTr="00A613AF">
        <w:trPr>
          <w:trHeight w:val="1397"/>
        </w:trPr>
        <w:tc>
          <w:tcPr>
            <w:tcW w:w="1668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Профілактика</w:t>
            </w:r>
          </w:p>
        </w:tc>
        <w:tc>
          <w:tcPr>
            <w:tcW w:w="3260" w:type="dxa"/>
          </w:tcPr>
          <w:p w:rsidR="00C15E73" w:rsidRPr="00C15E73" w:rsidRDefault="00C15E73" w:rsidP="00C15E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Пацієнтів спостерігають до зникнення проявів захворювання і до того моменту, коли пацієнту більш не потрібно консультативна допомога. Наступний контроль може знадобитися для виключення інших причин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геніальний </w:t>
            </w:r>
            <w:r w:rsidRPr="00C15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виразок, що можуть супроводжувати захворюванню. Пацієнтам варто запропонувати повторно відвідати клініку, якщо виникне проблема рецидивів.</w:t>
            </w:r>
          </w:p>
        </w:tc>
        <w:tc>
          <w:tcPr>
            <w:tcW w:w="1843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5E73" w:rsidRPr="00F70031" w:rsidRDefault="00C15E73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15E73" w:rsidRPr="00F70031" w:rsidRDefault="00C15E73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E73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A5F19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B6E55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15E73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15E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5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15E7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5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edsprava.com.ua/mcfr/medsprava/2004_286_nakaz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sprava.com.ua/mcfr/medsprava/2009_312_nakaz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2911</Words>
  <Characters>1660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2015-02-24T08:55:00Z</dcterms:created>
  <dcterms:modified xsi:type="dcterms:W3CDTF">2015-02-27T12:27:00Z</dcterms:modified>
</cp:coreProperties>
</file>