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720232" w:rsidRPr="00F70031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720232" w:rsidRPr="00F70031" w:rsidRDefault="00720232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720232" w:rsidRPr="00F70031" w:rsidRDefault="00720232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720232" w:rsidRPr="00F70031" w:rsidRDefault="00720232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720232" w:rsidRPr="00F70031" w:rsidRDefault="00720232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720232" w:rsidRPr="00F70031" w:rsidRDefault="00720232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>
      <w:pPr>
        <w:rPr>
          <w:b/>
        </w:rPr>
      </w:pPr>
    </w:p>
    <w:p w:rsidR="00720232" w:rsidRPr="00F70031" w:rsidRDefault="00720232" w:rsidP="00720232">
      <w:pPr>
        <w:rPr>
          <w:b/>
        </w:rPr>
      </w:pPr>
    </w:p>
    <w:p w:rsidR="00720232" w:rsidRPr="00F70031" w:rsidRDefault="00720232" w:rsidP="00720232">
      <w:pPr>
        <w:rPr>
          <w:b/>
        </w:rPr>
      </w:pPr>
    </w:p>
    <w:p w:rsidR="00720232" w:rsidRPr="00F70031" w:rsidRDefault="00720232" w:rsidP="00720232">
      <w:pPr>
        <w:rPr>
          <w:b/>
        </w:rPr>
      </w:pPr>
    </w:p>
    <w:p w:rsidR="00720232" w:rsidRPr="00F70031" w:rsidRDefault="00720232" w:rsidP="00720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720232" w:rsidRPr="00F70031" w:rsidRDefault="00720232" w:rsidP="007202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32" w:rsidRPr="00F70031" w:rsidRDefault="00720232" w:rsidP="00720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720232" w:rsidRPr="002661E4" w:rsidRDefault="00720232" w:rsidP="00720232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val="ru-RU"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кропив’янку. </w:t>
      </w:r>
    </w:p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>
      <w:pPr>
        <w:rPr>
          <w:lang w:val="ru-RU"/>
        </w:rPr>
      </w:pPr>
    </w:p>
    <w:p w:rsidR="00720232" w:rsidRPr="00F70031" w:rsidRDefault="00720232" w:rsidP="00720232">
      <w:pPr>
        <w:rPr>
          <w:lang w:val="ru-RU"/>
        </w:rPr>
      </w:pPr>
    </w:p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/>
    <w:p w:rsidR="00720232" w:rsidRPr="00F70031" w:rsidRDefault="00720232" w:rsidP="00720232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720232" w:rsidRPr="00F70031" w:rsidRDefault="00720232" w:rsidP="0072023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i/>
          <w:sz w:val="24"/>
        </w:rPr>
        <w:t>кропив’янку</w:t>
      </w:r>
      <w:r w:rsidRPr="002661E4">
        <w:rPr>
          <w:rFonts w:ascii="Times New Roman" w:hAnsi="Times New Roman" w:cs="Times New Roman"/>
          <w:i/>
          <w:sz w:val="24"/>
          <w:lang w:val="ru-RU"/>
        </w:rPr>
        <w:t>.</w:t>
      </w:r>
    </w:p>
    <w:p w:rsidR="00720232" w:rsidRPr="00720232" w:rsidRDefault="00720232" w:rsidP="0072023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0232">
        <w:rPr>
          <w:rFonts w:ascii="Times New Roman" w:hAnsi="Times New Roman" w:cs="Times New Roman"/>
          <w:sz w:val="24"/>
          <w:szCs w:val="24"/>
        </w:rPr>
        <w:t>КРОПИВ’ЯНКА</w:t>
      </w:r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50. 0 – алергічна кропив’янка</w:t>
      </w:r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50. 1 – </w:t>
      </w:r>
      <w:proofErr w:type="spellStart"/>
      <w:r w:rsidRPr="00720232">
        <w:rPr>
          <w:rFonts w:ascii="Times New Roman" w:hAnsi="Times New Roman" w:cs="Times New Roman"/>
          <w:sz w:val="24"/>
          <w:szCs w:val="24"/>
        </w:rPr>
        <w:t>ідіопатична</w:t>
      </w:r>
      <w:proofErr w:type="spellEnd"/>
      <w:r w:rsidRPr="00720232">
        <w:rPr>
          <w:rFonts w:ascii="Times New Roman" w:hAnsi="Times New Roman" w:cs="Times New Roman"/>
          <w:sz w:val="24"/>
          <w:szCs w:val="24"/>
        </w:rPr>
        <w:t xml:space="preserve"> кропив’янка</w:t>
      </w:r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50. 2 – кропив’янка, що зумовлена дією низької або підвищеної  температури</w:t>
      </w:r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50. 3 – </w:t>
      </w:r>
      <w:proofErr w:type="spellStart"/>
      <w:r w:rsidRPr="00720232">
        <w:rPr>
          <w:rFonts w:ascii="Times New Roman" w:hAnsi="Times New Roman" w:cs="Times New Roman"/>
          <w:sz w:val="24"/>
          <w:szCs w:val="24"/>
        </w:rPr>
        <w:t>дерматографічна</w:t>
      </w:r>
      <w:proofErr w:type="spellEnd"/>
      <w:r w:rsidRPr="00720232">
        <w:rPr>
          <w:rFonts w:ascii="Times New Roman" w:hAnsi="Times New Roman" w:cs="Times New Roman"/>
          <w:sz w:val="24"/>
          <w:szCs w:val="24"/>
        </w:rPr>
        <w:t xml:space="preserve"> кропив’янка</w:t>
      </w:r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50. 4 – вібраційна кропив’янка</w:t>
      </w:r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50. 5 – </w:t>
      </w:r>
      <w:proofErr w:type="spellStart"/>
      <w:r w:rsidRPr="00720232">
        <w:rPr>
          <w:rFonts w:ascii="Times New Roman" w:hAnsi="Times New Roman" w:cs="Times New Roman"/>
          <w:sz w:val="24"/>
          <w:szCs w:val="24"/>
        </w:rPr>
        <w:t>холінергічна</w:t>
      </w:r>
      <w:proofErr w:type="spellEnd"/>
      <w:r w:rsidRPr="00720232">
        <w:rPr>
          <w:rFonts w:ascii="Times New Roman" w:hAnsi="Times New Roman" w:cs="Times New Roman"/>
          <w:sz w:val="24"/>
          <w:szCs w:val="24"/>
        </w:rPr>
        <w:t xml:space="preserve"> кропив’янка</w:t>
      </w:r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50. 6 – контактна кропив’янка</w:t>
      </w:r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50. 9 – кропив’янка </w:t>
      </w:r>
      <w:proofErr w:type="spellStart"/>
      <w:r w:rsidRPr="00720232">
        <w:rPr>
          <w:rFonts w:ascii="Times New Roman" w:hAnsi="Times New Roman" w:cs="Times New Roman"/>
          <w:sz w:val="24"/>
          <w:szCs w:val="24"/>
        </w:rPr>
        <w:t>неуточнена</w:t>
      </w:r>
      <w:proofErr w:type="spellEnd"/>
    </w:p>
    <w:p w:rsidR="00720232" w:rsidRPr="00720232" w:rsidRDefault="00720232" w:rsidP="00720232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20232">
        <w:rPr>
          <w:rFonts w:ascii="Times New Roman" w:hAnsi="Times New Roman" w:cs="Times New Roman"/>
          <w:sz w:val="24"/>
          <w:szCs w:val="24"/>
        </w:rPr>
        <w:t xml:space="preserve"> 78. 3 – </w:t>
      </w:r>
      <w:proofErr w:type="spellStart"/>
      <w:r w:rsidRPr="00720232">
        <w:rPr>
          <w:rFonts w:ascii="Times New Roman" w:hAnsi="Times New Roman" w:cs="Times New Roman"/>
          <w:sz w:val="24"/>
          <w:szCs w:val="24"/>
        </w:rPr>
        <w:t>ангіоневратичний</w:t>
      </w:r>
      <w:proofErr w:type="spellEnd"/>
      <w:r w:rsidRPr="00720232">
        <w:rPr>
          <w:rFonts w:ascii="Times New Roman" w:hAnsi="Times New Roman" w:cs="Times New Roman"/>
          <w:sz w:val="24"/>
          <w:szCs w:val="24"/>
        </w:rPr>
        <w:t xml:space="preserve"> набряк </w:t>
      </w:r>
      <w:proofErr w:type="spellStart"/>
      <w:r w:rsidRPr="00720232">
        <w:rPr>
          <w:rFonts w:ascii="Times New Roman" w:hAnsi="Times New Roman" w:cs="Times New Roman"/>
          <w:sz w:val="24"/>
          <w:szCs w:val="24"/>
        </w:rPr>
        <w:t>Квінке</w:t>
      </w:r>
      <w:proofErr w:type="spellEnd"/>
      <w:r w:rsidRPr="00720232">
        <w:rPr>
          <w:rFonts w:ascii="Times New Roman" w:hAnsi="Times New Roman" w:cs="Times New Roman"/>
          <w:sz w:val="24"/>
          <w:szCs w:val="24"/>
        </w:rPr>
        <w:t xml:space="preserve"> (набряк </w:t>
      </w:r>
      <w:proofErr w:type="spellStart"/>
      <w:r w:rsidRPr="00720232">
        <w:rPr>
          <w:rFonts w:ascii="Times New Roman" w:hAnsi="Times New Roman" w:cs="Times New Roman"/>
          <w:sz w:val="24"/>
          <w:szCs w:val="24"/>
        </w:rPr>
        <w:t>Квінке</w:t>
      </w:r>
      <w:proofErr w:type="spellEnd"/>
      <w:r w:rsidRPr="00720232">
        <w:rPr>
          <w:rFonts w:ascii="Times New Roman" w:hAnsi="Times New Roman" w:cs="Times New Roman"/>
          <w:sz w:val="24"/>
          <w:szCs w:val="24"/>
        </w:rPr>
        <w:t>)</w:t>
      </w:r>
    </w:p>
    <w:p w:rsidR="00720232" w:rsidRPr="00F70031" w:rsidRDefault="00720232" w:rsidP="0072023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720232" w:rsidRPr="00F70031" w:rsidRDefault="00720232" w:rsidP="0072023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720232" w:rsidRPr="00F70031" w:rsidRDefault="00720232" w:rsidP="0072023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720232" w:rsidRPr="00F70031" w:rsidRDefault="00720232" w:rsidP="0072023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720232" w:rsidRPr="00F70031" w:rsidTr="00A613AF">
        <w:tc>
          <w:tcPr>
            <w:tcW w:w="4851" w:type="dxa"/>
          </w:tcPr>
          <w:p w:rsidR="00720232" w:rsidRPr="00F70031" w:rsidRDefault="00720232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720232" w:rsidRPr="00F70031" w:rsidRDefault="00720232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720232" w:rsidRPr="00F70031" w:rsidTr="00A613AF">
        <w:tc>
          <w:tcPr>
            <w:tcW w:w="4851" w:type="dxa"/>
          </w:tcPr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  <w:tc>
          <w:tcPr>
            <w:tcW w:w="4644" w:type="dxa"/>
          </w:tcPr>
          <w:p w:rsidR="00720232" w:rsidRPr="00F70031" w:rsidRDefault="00720232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Лікар-дерматовенеролог</w:t>
            </w:r>
            <w:proofErr w:type="spellEnd"/>
          </w:p>
        </w:tc>
      </w:tr>
      <w:tr w:rsidR="00720232" w:rsidRPr="00F70031" w:rsidTr="00A613AF">
        <w:tc>
          <w:tcPr>
            <w:tcW w:w="4851" w:type="dxa"/>
          </w:tcPr>
          <w:p w:rsidR="00720232" w:rsidRPr="00F70031" w:rsidRDefault="00720232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4644" w:type="dxa"/>
          </w:tcPr>
          <w:p w:rsidR="00720232" w:rsidRDefault="00720232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Лікар-дерматовенеролог</w:t>
            </w:r>
            <w:proofErr w:type="spellEnd"/>
          </w:p>
        </w:tc>
      </w:tr>
    </w:tbl>
    <w:p w:rsidR="00720232" w:rsidRPr="00F70031" w:rsidRDefault="00720232" w:rsidP="00720232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720232" w:rsidRPr="00F70031" w:rsidRDefault="00720232" w:rsidP="00720232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232" w:rsidRDefault="00A838E1" w:rsidP="0072023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720232" w:rsidRPr="00C15E73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08.05.2009 № 312 «Про затвердження клінічних протоколів надання медичної допомоги хворим на </w:t>
        </w:r>
        <w:proofErr w:type="spellStart"/>
        <w:r w:rsidR="00720232" w:rsidRPr="00C15E73">
          <w:rPr>
            <w:rFonts w:ascii="Times New Roman" w:hAnsi="Times New Roman" w:cs="Times New Roman"/>
            <w:b/>
            <w:sz w:val="24"/>
            <w:szCs w:val="24"/>
          </w:rPr>
          <w:t>дерматовенерологічні</w:t>
        </w:r>
        <w:proofErr w:type="spellEnd"/>
        <w:r w:rsidR="00720232" w:rsidRPr="00C15E73">
          <w:rPr>
            <w:rFonts w:ascii="Times New Roman" w:hAnsi="Times New Roman" w:cs="Times New Roman"/>
            <w:b/>
            <w:sz w:val="24"/>
            <w:szCs w:val="24"/>
          </w:rPr>
          <w:t xml:space="preserve"> захворювання»</w:t>
        </w:r>
      </w:hyperlink>
      <w:r w:rsidR="00720232" w:rsidRPr="00C15E7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720232" w:rsidRPr="00C15E73" w:rsidRDefault="00A838E1" w:rsidP="0072023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20232" w:rsidRPr="00C15E73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07.06.2004 № 286 </w:t>
        </w:r>
        <w:r w:rsidR="00720232">
          <w:rPr>
            <w:rFonts w:ascii="Times New Roman" w:hAnsi="Times New Roman" w:cs="Times New Roman"/>
            <w:b/>
            <w:sz w:val="24"/>
            <w:szCs w:val="24"/>
          </w:rPr>
          <w:t xml:space="preserve">«Про удосконалення </w:t>
        </w:r>
        <w:proofErr w:type="spellStart"/>
        <w:r w:rsidR="00720232" w:rsidRPr="00C15E73">
          <w:rPr>
            <w:rFonts w:ascii="Times New Roman" w:hAnsi="Times New Roman" w:cs="Times New Roman"/>
            <w:b/>
            <w:sz w:val="24"/>
            <w:szCs w:val="24"/>
          </w:rPr>
          <w:t>дерматовенерологічної</w:t>
        </w:r>
        <w:proofErr w:type="spellEnd"/>
        <w:r w:rsidR="00720232" w:rsidRPr="00C15E73">
          <w:rPr>
            <w:rFonts w:ascii="Times New Roman" w:hAnsi="Times New Roman" w:cs="Times New Roman"/>
            <w:b/>
            <w:sz w:val="24"/>
            <w:szCs w:val="24"/>
          </w:rPr>
          <w:t xml:space="preserve"> допомоги населенню України»;</w:t>
        </w:r>
      </w:hyperlink>
    </w:p>
    <w:p w:rsidR="00720232" w:rsidRPr="00F70031" w:rsidRDefault="00720232" w:rsidP="0072023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720232" w:rsidRPr="00F70031" w:rsidRDefault="00720232" w:rsidP="0072023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720232" w:rsidRPr="00F70031" w:rsidRDefault="00720232" w:rsidP="00720232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232" w:rsidRPr="00F70031" w:rsidRDefault="00720232" w:rsidP="00720232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720232" w:rsidRPr="00F70031" w:rsidRDefault="00720232" w:rsidP="0072023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720232" w:rsidRPr="00F70031" w:rsidTr="00A613AF">
        <w:tc>
          <w:tcPr>
            <w:tcW w:w="1668" w:type="dxa"/>
          </w:tcPr>
          <w:p w:rsidR="00720232" w:rsidRPr="00F70031" w:rsidRDefault="00720232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720232" w:rsidRPr="00F70031" w:rsidRDefault="00720232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720232" w:rsidRPr="00F70031" w:rsidRDefault="00720232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720232" w:rsidRPr="00F70031" w:rsidRDefault="00720232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720232" w:rsidRPr="00F70031" w:rsidRDefault="00720232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720232" w:rsidRPr="00F70031" w:rsidTr="00A613AF">
        <w:tc>
          <w:tcPr>
            <w:tcW w:w="1668" w:type="dxa"/>
          </w:tcPr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proofErr w:type="spellStart"/>
            <w:r w:rsidR="00C97FC6">
              <w:rPr>
                <w:rFonts w:ascii="Times New Roman" w:hAnsi="Times New Roman" w:cs="Times New Roman"/>
                <w:sz w:val="24"/>
                <w:szCs w:val="24"/>
              </w:rPr>
              <w:t>лікарем-дермавенерологом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proofErr w:type="spellStart"/>
            <w:r w:rsidR="00C97FC6">
              <w:rPr>
                <w:rFonts w:ascii="Times New Roman" w:hAnsi="Times New Roman" w:cs="Times New Roman"/>
                <w:sz w:val="24"/>
                <w:szCs w:val="24"/>
              </w:rPr>
              <w:t>лікаря-дермавенеролога</w:t>
            </w:r>
            <w:proofErr w:type="spellEnd"/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2.Оформлення  медичної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картки форма 043/o;</w:t>
            </w: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proofErr w:type="spellStart"/>
            <w:r w:rsidR="00C97FC6">
              <w:rPr>
                <w:rFonts w:ascii="Times New Roman" w:hAnsi="Times New Roman" w:cs="Times New Roman"/>
                <w:sz w:val="24"/>
                <w:szCs w:val="24"/>
              </w:rPr>
              <w:t>лікарем-дермавенерологом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720232" w:rsidRPr="00F70031" w:rsidRDefault="00720232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0232" w:rsidRPr="00F70031" w:rsidRDefault="00720232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720232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у кожного пацієнта медичної картки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720232" w:rsidRPr="00F70031" w:rsidTr="00A613AF">
        <w:tc>
          <w:tcPr>
            <w:tcW w:w="1668" w:type="dxa"/>
          </w:tcPr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720232" w:rsidRPr="00720232" w:rsidRDefault="00720232" w:rsidP="007202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Обов’язкові лабораторні дослідження: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клінічний аналіз крові;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сечі;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загальний та 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специфічний;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бактеріологічне дослідження кишкової флори (дисбактеріоз);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 на гельмінти (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аскарідоз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стронгілоідоз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інші); 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Рекомендовані лабораторні дослідження: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RW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ВІЧ;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біохімічний аналіз крові, включаючи виявлення глюкози крові, білірубіну, холестерину,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креатинину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ревматологічні проби (виявлення антитіл  до ДНК,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кріопреципітинів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СРБ):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бактеріологічне дослідження вмісту з слизових оболонок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ротоглотки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інших вогнищ хронічної інфекції;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Алергологічні дослідження: 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алергологічний анамнез;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підразнення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шкіри шпателем для виявлення  виду дермографізму;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скаріфікаційні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шкірні тести с пилковими та побутовими алергенами;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внутрішкірні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 з бактеріальними алергенами;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тести: холодовий, тепловий, з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жгутом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світлове 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опромінення шкіри (поза періоду загострення);</w:t>
            </w:r>
          </w:p>
          <w:p w:rsid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хворих з підозрою на харчову та медикаментозну алергію – специфічні імунологічні тести з медикаментами та виявлення специфічного імуноглобуліну Е до харчових і  медикаментозних алергенів.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Інструментальні дослідження: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органів грудної клітки;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дослідження  печінки, нирок, підшлункової залози,  селезінки  (при хронічній, рецидивній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кропивянці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  секреторної функції  шлунково-кишкового тракту (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фіброгастроскопія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20232" w:rsidRPr="00720232" w:rsidRDefault="00720232" w:rsidP="00720232">
            <w:pPr>
              <w:widowControl w:val="0"/>
              <w:shd w:val="clear" w:color="auto" w:fill="FFFFFF"/>
              <w:tabs>
                <w:tab w:val="left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дуоденальне зондування.</w:t>
            </w:r>
          </w:p>
        </w:tc>
        <w:tc>
          <w:tcPr>
            <w:tcW w:w="1843" w:type="dxa"/>
          </w:tcPr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232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720232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720232" w:rsidRPr="00F70031" w:rsidTr="00A613AF">
        <w:tc>
          <w:tcPr>
            <w:tcW w:w="1668" w:type="dxa"/>
          </w:tcPr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720232" w:rsidRPr="00720232" w:rsidRDefault="00720232" w:rsidP="007202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429"/>
                <w:tab w:val="num" w:pos="175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антигістамінні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засоби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(пропонується чергування курсів по 10 днів) (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дімедрол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супрастін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піпольфен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феністил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діазолін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фенкарол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дезлоратадін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лорано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лоризан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ебастин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фексофенадин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хлоропірамін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тавегіл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кестін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мебгідролин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кларітин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акривастин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алергин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телфаст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еріус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алерон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);</w:t>
            </w:r>
          </w:p>
          <w:p w:rsidR="00720232" w:rsidRPr="00720232" w:rsidRDefault="00720232" w:rsidP="007202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429"/>
                <w:tab w:val="num" w:pos="175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гіпосенсибілізуючі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засоби (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кальцію хлорид, 10 % кальцію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30 %  натрію тіосульфат);</w:t>
            </w:r>
          </w:p>
          <w:p w:rsidR="00720232" w:rsidRPr="00720232" w:rsidRDefault="00720232" w:rsidP="007202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429"/>
                <w:tab w:val="num" w:pos="175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дезінтоксикаційні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засоби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недостатньої ефективності попередніх заходів) (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полівідон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натрію хлорид, калію хлорид, кальцію хлорид, магнію хлорид, натрію гідрокарбонат,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середньою молекулярною масою 30 000-40 000);</w:t>
            </w:r>
          </w:p>
          <w:p w:rsidR="00720232" w:rsidRPr="00720232" w:rsidRDefault="00720232" w:rsidP="007202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429"/>
                <w:tab w:val="num" w:pos="175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ентеросорбенти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(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іосмектит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лігнін гідролізний, мікрокристалічна целюлоза,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поліфепан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сорбогель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ентеросгель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мультісорб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);</w:t>
            </w:r>
          </w:p>
          <w:p w:rsidR="00720232" w:rsidRPr="00720232" w:rsidRDefault="00720232" w:rsidP="007202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429"/>
                <w:tab w:val="num" w:pos="175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ферментні препарати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показаннями.</w:t>
            </w:r>
          </w:p>
          <w:p w:rsidR="00720232" w:rsidRPr="00720232" w:rsidRDefault="00720232" w:rsidP="007202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429"/>
                <w:tab w:val="num" w:pos="175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симптоматична терапія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виявленої патології.</w:t>
            </w:r>
          </w:p>
          <w:p w:rsidR="00720232" w:rsidRPr="00720232" w:rsidRDefault="00720232" w:rsidP="007202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429"/>
                <w:tab w:val="num" w:pos="175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гіпоалергічна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дієта.</w:t>
            </w:r>
          </w:p>
          <w:p w:rsidR="00720232" w:rsidRPr="00720232" w:rsidRDefault="00720232" w:rsidP="007202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429"/>
                <w:tab w:val="num" w:pos="175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важких випадках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глюкокортикоїдні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засоби для системного застосування  </w:t>
            </w: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вибір) (преднізолон,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тріамцинолон</w:t>
            </w:r>
            <w:proofErr w:type="spellEnd"/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720232" w:rsidRPr="003321B3" w:rsidRDefault="00720232" w:rsidP="00A613A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10-14 днів.</w:t>
            </w:r>
          </w:p>
        </w:tc>
        <w:tc>
          <w:tcPr>
            <w:tcW w:w="1417" w:type="dxa"/>
          </w:tcPr>
          <w:p w:rsidR="00720232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720232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720232" w:rsidRPr="00720232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рецидивів в період диспансерного спостереження (у дерматолога і за показниками — у гастроентеролога і алерголога).</w:t>
            </w:r>
          </w:p>
          <w:p w:rsidR="00720232" w:rsidRPr="00C15E73" w:rsidRDefault="00720232" w:rsidP="0072023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232" w:rsidRPr="00F70031" w:rsidTr="00A613AF">
        <w:tc>
          <w:tcPr>
            <w:tcW w:w="1668" w:type="dxa"/>
          </w:tcPr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4162B0" w:rsidRPr="004162B0" w:rsidRDefault="004162B0" w:rsidP="004162B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</w:t>
            </w:r>
            <w:proofErr w:type="spellStart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гіпоалергічної</w:t>
            </w:r>
            <w:proofErr w:type="spellEnd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дієти. При </w:t>
            </w:r>
            <w:proofErr w:type="spellStart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супутьому</w:t>
            </w:r>
            <w:proofErr w:type="spellEnd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порушенні шлунково-кишкового тракту доцільні  дієти № 2, 3, 5, при  супутньому </w:t>
            </w:r>
            <w:proofErr w:type="spellStart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захворювані</w:t>
            </w:r>
            <w:proofErr w:type="spellEnd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нирок -  дієта  № 7, при супутньому цукровому діабеті – дієта № 9.</w:t>
            </w:r>
          </w:p>
          <w:p w:rsidR="004162B0" w:rsidRPr="004162B0" w:rsidRDefault="004162B0" w:rsidP="004162B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 режиму праці, відпочинку  та реабілітації.</w:t>
            </w:r>
          </w:p>
          <w:p w:rsidR="00720232" w:rsidRPr="004162B0" w:rsidRDefault="004162B0" w:rsidP="004162B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Реабілітація</w:t>
            </w:r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направлена   на  попередження  </w:t>
            </w:r>
            <w:proofErr w:type="spellStart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сенсібілізації</w:t>
            </w:r>
            <w:proofErr w:type="spellEnd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алергенів, їх  елімінацію та лікування   захворювань, на фоні яких  вона  </w:t>
            </w:r>
            <w:proofErr w:type="spellStart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розвинулась</w:t>
            </w:r>
            <w:proofErr w:type="spellEnd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санацію  вогнищ фокальної  хронічної інфекції.    </w:t>
            </w:r>
          </w:p>
        </w:tc>
        <w:tc>
          <w:tcPr>
            <w:tcW w:w="1843" w:type="dxa"/>
          </w:tcPr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20232" w:rsidRPr="00F70031" w:rsidRDefault="00720232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720232" w:rsidRPr="00F70031" w:rsidTr="00A613AF">
        <w:trPr>
          <w:trHeight w:val="212"/>
        </w:trPr>
        <w:tc>
          <w:tcPr>
            <w:tcW w:w="1668" w:type="dxa"/>
          </w:tcPr>
          <w:p w:rsidR="00720232" w:rsidRPr="00F70031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4162B0" w:rsidRPr="004162B0" w:rsidRDefault="004162B0" w:rsidP="004162B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Диспансерізація</w:t>
            </w:r>
            <w:proofErr w:type="spellEnd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проводиться 2 рази на рік.</w:t>
            </w:r>
          </w:p>
          <w:p w:rsidR="00720232" w:rsidRPr="004162B0" w:rsidRDefault="004162B0" w:rsidP="004162B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Рецидив гострої кропив’янки з набряком </w:t>
            </w:r>
            <w:proofErr w:type="spellStart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Квінке</w:t>
            </w:r>
            <w:proofErr w:type="spellEnd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відсутність ефекту від амбулаторного лікування хронічної </w:t>
            </w:r>
            <w:proofErr w:type="spellStart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рецидивуючої</w:t>
            </w:r>
            <w:proofErr w:type="spellEnd"/>
            <w:r w:rsidRPr="004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кропив’янки.</w:t>
            </w:r>
          </w:p>
        </w:tc>
        <w:tc>
          <w:tcPr>
            <w:tcW w:w="1843" w:type="dxa"/>
          </w:tcPr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232" w:rsidRDefault="00720232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32" w:rsidRPr="003321B3" w:rsidRDefault="00720232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20232" w:rsidRPr="00F70031" w:rsidRDefault="00720232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0206"/>
    <w:multiLevelType w:val="hybridMultilevel"/>
    <w:tmpl w:val="71880F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32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162B0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32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838E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97FC6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sprava.com.ua/mcfr/medsprava/2004_286_naka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009_312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4118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2015-02-24T10:04:00Z</dcterms:created>
  <dcterms:modified xsi:type="dcterms:W3CDTF">2015-02-27T12:28:00Z</dcterms:modified>
</cp:coreProperties>
</file>