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4654F2" w:rsidRPr="00C6610E" w:rsidTr="00BA1D5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654F2" w:rsidRPr="00C6610E" w:rsidRDefault="004654F2" w:rsidP="00BA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4654F2" w:rsidRPr="00C6610E" w:rsidRDefault="004654F2" w:rsidP="00BA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4654F2" w:rsidRPr="00C6610E" w:rsidRDefault="004654F2" w:rsidP="00BA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4654F2" w:rsidRPr="00C6610E" w:rsidRDefault="004654F2" w:rsidP="00BA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4654F2" w:rsidRPr="00C6610E" w:rsidRDefault="004654F2" w:rsidP="00BA1D5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4654F2" w:rsidRPr="00C6610E" w:rsidRDefault="004654F2" w:rsidP="00BA1D5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4654F2" w:rsidRPr="00C6610E" w:rsidRDefault="004654F2" w:rsidP="00BA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654F2" w:rsidRPr="00C6610E" w:rsidRDefault="004654F2" w:rsidP="00BA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4654F2" w:rsidRPr="00C6610E" w:rsidRDefault="004654F2" w:rsidP="00BA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4654F2" w:rsidRPr="00C6610E" w:rsidRDefault="004654F2" w:rsidP="00BA1D5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4654F2" w:rsidRPr="00C6610E" w:rsidRDefault="004654F2" w:rsidP="00BA1D5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4654F2" w:rsidRPr="00C6610E" w:rsidRDefault="004654F2" w:rsidP="00BA1D5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4654F2" w:rsidRPr="00C6610E" w:rsidRDefault="004654F2" w:rsidP="004654F2"/>
    <w:p w:rsidR="004654F2" w:rsidRPr="00C6610E" w:rsidRDefault="004654F2" w:rsidP="004654F2"/>
    <w:p w:rsidR="004654F2" w:rsidRPr="00C6610E" w:rsidRDefault="004654F2" w:rsidP="004654F2">
      <w:pPr>
        <w:rPr>
          <w:b/>
        </w:rPr>
      </w:pPr>
    </w:p>
    <w:p w:rsidR="004654F2" w:rsidRPr="00C6610E" w:rsidRDefault="004654F2" w:rsidP="004654F2">
      <w:pPr>
        <w:rPr>
          <w:b/>
        </w:rPr>
      </w:pPr>
    </w:p>
    <w:p w:rsidR="004654F2" w:rsidRPr="00C6610E" w:rsidRDefault="004654F2" w:rsidP="004654F2">
      <w:pPr>
        <w:rPr>
          <w:b/>
        </w:rPr>
      </w:pPr>
    </w:p>
    <w:p w:rsidR="004654F2" w:rsidRPr="00C6610E" w:rsidRDefault="004654F2" w:rsidP="00465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C6610E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4654F2" w:rsidRDefault="004654F2" w:rsidP="00465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4F2" w:rsidRPr="006A4418" w:rsidRDefault="004654F2" w:rsidP="004654F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54F2" w:rsidRPr="00C6610E" w:rsidRDefault="004654F2" w:rsidP="00465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4654F2" w:rsidRPr="006A4418" w:rsidRDefault="004654F2" w:rsidP="004654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A44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Надання медичної допомоги хворим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 хронічною нирковою недостатністю (ХНН).</w:t>
      </w:r>
    </w:p>
    <w:p w:rsidR="004654F2" w:rsidRPr="00C6610E" w:rsidRDefault="004654F2" w:rsidP="004654F2"/>
    <w:p w:rsidR="004654F2" w:rsidRPr="00C6610E" w:rsidRDefault="004654F2" w:rsidP="004654F2"/>
    <w:p w:rsidR="004654F2" w:rsidRPr="00C6610E" w:rsidRDefault="004654F2" w:rsidP="004654F2"/>
    <w:p w:rsidR="004654F2" w:rsidRPr="00C6610E" w:rsidRDefault="004654F2" w:rsidP="004654F2"/>
    <w:p w:rsidR="004654F2" w:rsidRPr="00C6610E" w:rsidRDefault="004654F2" w:rsidP="004654F2"/>
    <w:p w:rsidR="004654F2" w:rsidRPr="00C6610E" w:rsidRDefault="004654F2" w:rsidP="004654F2"/>
    <w:p w:rsidR="004654F2" w:rsidRPr="00C6610E" w:rsidRDefault="004654F2" w:rsidP="004654F2"/>
    <w:p w:rsidR="004654F2" w:rsidRPr="00C6610E" w:rsidRDefault="004654F2" w:rsidP="004654F2">
      <w:pPr>
        <w:rPr>
          <w:lang w:val="ru-RU"/>
        </w:rPr>
      </w:pPr>
    </w:p>
    <w:p w:rsidR="004654F2" w:rsidRPr="00C6610E" w:rsidRDefault="004654F2" w:rsidP="004654F2">
      <w:pPr>
        <w:rPr>
          <w:lang w:val="ru-RU"/>
        </w:rPr>
      </w:pPr>
    </w:p>
    <w:p w:rsidR="004654F2" w:rsidRPr="00C6610E" w:rsidRDefault="004654F2" w:rsidP="004654F2"/>
    <w:p w:rsidR="004654F2" w:rsidRPr="00C6610E" w:rsidRDefault="004654F2" w:rsidP="004654F2"/>
    <w:p w:rsidR="004654F2" w:rsidRPr="00C6610E" w:rsidRDefault="004654F2" w:rsidP="004654F2"/>
    <w:p w:rsidR="004654F2" w:rsidRPr="00C6610E" w:rsidRDefault="004654F2" w:rsidP="004654F2"/>
    <w:p w:rsidR="004654F2" w:rsidRPr="00C6610E" w:rsidRDefault="004654F2" w:rsidP="004654F2"/>
    <w:p w:rsidR="004654F2" w:rsidRPr="00C6610E" w:rsidRDefault="004654F2" w:rsidP="004654F2"/>
    <w:p w:rsidR="004654F2" w:rsidRPr="00C6610E" w:rsidRDefault="004654F2" w:rsidP="004654F2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4654F2" w:rsidRPr="00C6610E" w:rsidRDefault="004654F2" w:rsidP="004654F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 хронічною нирковою недостатністю (ХНН).</w:t>
      </w:r>
    </w:p>
    <w:p w:rsidR="004654F2" w:rsidRPr="004654F2" w:rsidRDefault="004654F2" w:rsidP="004654F2">
      <w:pPr>
        <w:numPr>
          <w:ilvl w:val="1"/>
          <w:numId w:val="1"/>
        </w:numPr>
        <w:tabs>
          <w:tab w:val="left" w:pos="426"/>
          <w:tab w:val="left" w:pos="851"/>
        </w:tabs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4654F2">
        <w:rPr>
          <w:rFonts w:ascii="Times New Roman" w:hAnsi="Times New Roman" w:cs="Times New Roman"/>
          <w:b/>
          <w:sz w:val="24"/>
          <w:szCs w:val="24"/>
        </w:rPr>
        <w:t xml:space="preserve"> Шифр МКХ -10: </w:t>
      </w:r>
      <w:r w:rsidRPr="004654F2">
        <w:rPr>
          <w:rFonts w:ascii="Times New Roman" w:hAnsi="Times New Roman" w:cs="Times New Roman"/>
          <w:color w:val="000000"/>
          <w:sz w:val="24"/>
          <w:szCs w:val="24"/>
        </w:rPr>
        <w:t>ХНН</w:t>
      </w:r>
      <w:r w:rsidRPr="004654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класифікують таким чином : </w:t>
      </w:r>
    </w:p>
    <w:p w:rsidR="004654F2" w:rsidRPr="004654F2" w:rsidRDefault="004654F2" w:rsidP="004654F2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654F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</w:t>
      </w:r>
      <w:r w:rsidRPr="004654F2">
        <w:rPr>
          <w:rFonts w:ascii="Times New Roman" w:hAnsi="Times New Roman" w:cs="Times New Roman"/>
          <w:bCs/>
          <w:color w:val="000000"/>
          <w:sz w:val="24"/>
          <w:szCs w:val="24"/>
        </w:rPr>
        <w:t>18     Хронічна   ниркова   недостатність</w:t>
      </w:r>
    </w:p>
    <w:p w:rsidR="004654F2" w:rsidRPr="004654F2" w:rsidRDefault="004654F2" w:rsidP="004654F2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851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654F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</w:t>
      </w:r>
      <w:r w:rsidRPr="004654F2">
        <w:rPr>
          <w:rFonts w:ascii="Times New Roman" w:hAnsi="Times New Roman" w:cs="Times New Roman"/>
          <w:bCs/>
          <w:color w:val="000000"/>
          <w:sz w:val="24"/>
          <w:szCs w:val="24"/>
        </w:rPr>
        <w:t>18.0 -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654F2">
        <w:rPr>
          <w:rFonts w:ascii="Times New Roman" w:hAnsi="Times New Roman" w:cs="Times New Roman"/>
          <w:bCs/>
          <w:color w:val="000000"/>
          <w:sz w:val="24"/>
          <w:szCs w:val="24"/>
        </w:rPr>
        <w:t>Терміна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льна стадія   ураження   нирок</w:t>
      </w:r>
    </w:p>
    <w:p w:rsidR="004654F2" w:rsidRPr="004654F2" w:rsidRDefault="004654F2" w:rsidP="004654F2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851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654F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</w:t>
      </w:r>
      <w:r w:rsidRPr="004654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18.8- Інша  хронічна   ниркова   недостатність</w:t>
      </w:r>
    </w:p>
    <w:p w:rsidR="004654F2" w:rsidRPr="004654F2" w:rsidRDefault="004654F2" w:rsidP="004654F2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851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654F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</w:t>
      </w:r>
      <w:r w:rsidRPr="004654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18.9- Хронічна   ниркова   недостатність   </w:t>
      </w:r>
      <w:proofErr w:type="spellStart"/>
      <w:r w:rsidRPr="004654F2">
        <w:rPr>
          <w:rFonts w:ascii="Times New Roman" w:hAnsi="Times New Roman" w:cs="Times New Roman"/>
          <w:bCs/>
          <w:color w:val="000000"/>
          <w:sz w:val="24"/>
          <w:szCs w:val="24"/>
        </w:rPr>
        <w:t>неуточнена</w:t>
      </w:r>
      <w:proofErr w:type="spellEnd"/>
      <w:r w:rsidRPr="004654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654F2" w:rsidRPr="004654F2" w:rsidRDefault="004654F2" w:rsidP="004654F2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851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654F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</w:t>
      </w:r>
      <w:r w:rsidRPr="004654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654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4654F2">
        <w:rPr>
          <w:rFonts w:ascii="Times New Roman" w:hAnsi="Times New Roman" w:cs="Times New Roman"/>
          <w:bCs/>
          <w:color w:val="000000"/>
          <w:sz w:val="24"/>
          <w:szCs w:val="24"/>
        </w:rPr>
        <w:t>Неуточнена</w:t>
      </w:r>
      <w:proofErr w:type="spellEnd"/>
      <w:r w:rsidRPr="004654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ниркова   </w:t>
      </w:r>
      <w:proofErr w:type="gramStart"/>
      <w:r w:rsidRPr="004654F2">
        <w:rPr>
          <w:rFonts w:ascii="Times New Roman" w:hAnsi="Times New Roman" w:cs="Times New Roman"/>
          <w:bCs/>
          <w:color w:val="000000"/>
          <w:sz w:val="24"/>
          <w:szCs w:val="24"/>
        </w:rPr>
        <w:t>недостатність .</w:t>
      </w:r>
      <w:proofErr w:type="gramEnd"/>
    </w:p>
    <w:p w:rsidR="004654F2" w:rsidRPr="00C6610E" w:rsidRDefault="004654F2" w:rsidP="004654F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4654F2" w:rsidRPr="00C6610E" w:rsidRDefault="004654F2" w:rsidP="004654F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4654F2" w:rsidRPr="00C6610E" w:rsidRDefault="004654F2" w:rsidP="004654F2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4654F2" w:rsidRPr="00C6610E" w:rsidRDefault="004654F2" w:rsidP="004654F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4654F2" w:rsidRPr="00C6610E" w:rsidTr="00BA1D5F">
        <w:tc>
          <w:tcPr>
            <w:tcW w:w="4851" w:type="dxa"/>
          </w:tcPr>
          <w:p w:rsidR="004654F2" w:rsidRPr="00C6610E" w:rsidRDefault="004654F2" w:rsidP="00BA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4654F2" w:rsidRPr="00C6610E" w:rsidRDefault="004654F2" w:rsidP="00BA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4654F2" w:rsidRPr="00C6610E" w:rsidTr="00BA1D5F">
        <w:tc>
          <w:tcPr>
            <w:tcW w:w="4851" w:type="dxa"/>
          </w:tcPr>
          <w:p w:rsidR="004654F2" w:rsidRPr="00C6610E" w:rsidRDefault="004654F2" w:rsidP="00BA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Сич В.І.</w:t>
            </w:r>
          </w:p>
        </w:tc>
        <w:tc>
          <w:tcPr>
            <w:tcW w:w="4644" w:type="dxa"/>
          </w:tcPr>
          <w:p w:rsidR="004654F2" w:rsidRPr="00C6610E" w:rsidRDefault="004654F2" w:rsidP="00BA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Лікар-нефролог</w:t>
            </w:r>
          </w:p>
        </w:tc>
      </w:tr>
    </w:tbl>
    <w:p w:rsidR="004654F2" w:rsidRPr="00C6610E" w:rsidRDefault="004654F2" w:rsidP="004654F2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4654F2" w:rsidRPr="00C6610E" w:rsidRDefault="004654F2" w:rsidP="004654F2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4F2" w:rsidRDefault="00FA58F1" w:rsidP="004654F2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4654F2" w:rsidRPr="00BA77F1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Наказ МОЗ </w:t>
        </w:r>
        <w:r w:rsidR="004654F2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України </w:t>
        </w:r>
        <w:r w:rsidR="004654F2" w:rsidRPr="00BA77F1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від 02.12.2004 № 593 України «Про затвердження протоколів надання медичної допомоги за спеціальністю «Нефрологія»;</w:t>
        </w:r>
      </w:hyperlink>
    </w:p>
    <w:p w:rsidR="004654F2" w:rsidRPr="00BA77F1" w:rsidRDefault="004654F2" w:rsidP="004654F2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F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30.09.2003 № 65/462  «Про поліпшення якості та організації системи медичної допомоги дорослим хворим </w:t>
      </w:r>
      <w:proofErr w:type="spellStart"/>
      <w:r w:rsidRPr="00BA77F1">
        <w:rPr>
          <w:rFonts w:ascii="Times New Roman" w:hAnsi="Times New Roman" w:cs="Times New Roman"/>
          <w:b/>
          <w:sz w:val="24"/>
          <w:szCs w:val="24"/>
        </w:rPr>
        <w:t>нефрологічного</w:t>
      </w:r>
      <w:proofErr w:type="spellEnd"/>
      <w:r w:rsidRPr="00BA77F1">
        <w:rPr>
          <w:rFonts w:ascii="Times New Roman" w:hAnsi="Times New Roman" w:cs="Times New Roman"/>
          <w:b/>
          <w:sz w:val="24"/>
          <w:szCs w:val="24"/>
        </w:rPr>
        <w:t xml:space="preserve"> профілю»;</w:t>
      </w:r>
    </w:p>
    <w:p w:rsidR="004654F2" w:rsidRPr="00C6610E" w:rsidRDefault="004654F2" w:rsidP="004654F2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610E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4654F2" w:rsidRPr="00C6610E" w:rsidRDefault="004654F2" w:rsidP="004654F2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4654F2" w:rsidRPr="00C6610E" w:rsidRDefault="004654F2" w:rsidP="004654F2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4F2" w:rsidRPr="00C6610E" w:rsidRDefault="004654F2" w:rsidP="004654F2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4654F2" w:rsidRPr="00C6610E" w:rsidRDefault="004654F2" w:rsidP="004654F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4654F2" w:rsidRPr="00C6610E" w:rsidTr="00BA1D5F">
        <w:tc>
          <w:tcPr>
            <w:tcW w:w="1668" w:type="dxa"/>
          </w:tcPr>
          <w:p w:rsidR="004654F2" w:rsidRPr="00C6610E" w:rsidRDefault="004654F2" w:rsidP="00BA1D5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4654F2" w:rsidRPr="00C6610E" w:rsidRDefault="004654F2" w:rsidP="00BA1D5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4654F2" w:rsidRPr="00C6610E" w:rsidRDefault="004654F2" w:rsidP="00BA1D5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4654F2" w:rsidRPr="00C6610E" w:rsidRDefault="004654F2" w:rsidP="00BA1D5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4654F2" w:rsidRPr="00C6610E" w:rsidRDefault="004654F2" w:rsidP="00BA1D5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4654F2" w:rsidRPr="00C6610E" w:rsidTr="00BA1D5F">
        <w:tc>
          <w:tcPr>
            <w:tcW w:w="1668" w:type="dxa"/>
          </w:tcPr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F63684" w:rsidRDefault="00F63684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-нефрологом</w:t>
            </w:r>
            <w:r w:rsidR="004654F2"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</w:t>
            </w:r>
            <w:r w:rsidR="004654F2" w:rsidRPr="00F63684">
              <w:rPr>
                <w:rFonts w:ascii="Times New Roman" w:hAnsi="Times New Roman" w:cs="Times New Roman"/>
                <w:sz w:val="24"/>
                <w:szCs w:val="24"/>
              </w:rPr>
              <w:t>лікаря-</w:t>
            </w:r>
            <w:r w:rsidRPr="00F63684">
              <w:rPr>
                <w:rFonts w:ascii="Times New Roman" w:hAnsi="Times New Roman" w:cs="Times New Roman"/>
                <w:sz w:val="24"/>
                <w:szCs w:val="24"/>
              </w:rPr>
              <w:t>нефролога</w:t>
            </w: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3.Оформлення лікарем-</w:t>
            </w:r>
            <w:r w:rsidR="00F63684">
              <w:rPr>
                <w:rFonts w:ascii="Times New Roman" w:hAnsi="Times New Roman" w:cs="Times New Roman"/>
                <w:sz w:val="24"/>
                <w:szCs w:val="24"/>
              </w:rPr>
              <w:t>нефрологом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003-6/о;</w:t>
            </w: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4654F2" w:rsidRPr="00C6610E" w:rsidRDefault="004654F2" w:rsidP="00BA1D5F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654F2" w:rsidRPr="00C6610E" w:rsidRDefault="004654F2" w:rsidP="00BA1D5F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-п.2; п.3; п.4; п.5; п.6 – до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Реєстратор</w:t>
            </w: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нефролог</w:t>
            </w: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Сич В.І.</w:t>
            </w: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4654F2" w:rsidRPr="00C6610E" w:rsidTr="00BA1D5F">
        <w:tc>
          <w:tcPr>
            <w:tcW w:w="1668" w:type="dxa"/>
          </w:tcPr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4654F2" w:rsidRPr="004654F2" w:rsidRDefault="004654F2" w:rsidP="004654F2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Клінічні критерії:</w:t>
            </w:r>
          </w:p>
          <w:p w:rsidR="004654F2" w:rsidRPr="004654F2" w:rsidRDefault="004654F2" w:rsidP="004654F2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прояви</w:t>
            </w:r>
          </w:p>
          <w:p w:rsidR="004654F2" w:rsidRPr="004654F2" w:rsidRDefault="004654F2" w:rsidP="004654F2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симптоми ендогенної інтоксикації</w:t>
            </w:r>
          </w:p>
          <w:p w:rsidR="004654F2" w:rsidRPr="004654F2" w:rsidRDefault="004654F2" w:rsidP="004654F2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олігурія</w:t>
            </w:r>
            <w:proofErr w:type="spellEnd"/>
          </w:p>
          <w:p w:rsidR="004654F2" w:rsidRPr="004654F2" w:rsidRDefault="004654F2" w:rsidP="004654F2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набряки</w:t>
            </w:r>
          </w:p>
          <w:p w:rsidR="004654F2" w:rsidRPr="004654F2" w:rsidRDefault="004654F2" w:rsidP="004654F2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нудота</w:t>
            </w:r>
          </w:p>
          <w:p w:rsidR="004654F2" w:rsidRPr="004654F2" w:rsidRDefault="004654F2" w:rsidP="004654F2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блювота</w:t>
            </w:r>
          </w:p>
          <w:p w:rsidR="004654F2" w:rsidRPr="004654F2" w:rsidRDefault="004654F2" w:rsidP="004654F2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Можливі прояви</w:t>
            </w:r>
          </w:p>
          <w:p w:rsidR="004654F2" w:rsidRPr="004654F2" w:rsidRDefault="004654F2" w:rsidP="004654F2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артеріальна гіпертензія</w:t>
            </w:r>
          </w:p>
          <w:p w:rsidR="004654F2" w:rsidRPr="004654F2" w:rsidRDefault="004654F2" w:rsidP="004654F2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макрогематурія</w:t>
            </w:r>
            <w:proofErr w:type="spellEnd"/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 </w:t>
            </w:r>
            <w:proofErr w:type="spellStart"/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мікрогематурія</w:t>
            </w:r>
            <w:proofErr w:type="spellEnd"/>
          </w:p>
          <w:p w:rsidR="004654F2" w:rsidRPr="004654F2" w:rsidRDefault="004654F2" w:rsidP="004654F2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4F2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порушення</w:t>
            </w:r>
            <w:proofErr w:type="spellEnd"/>
            <w:r w:rsidRPr="004654F2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54F2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сечопуску</w:t>
            </w:r>
            <w:proofErr w:type="spellEnd"/>
          </w:p>
          <w:p w:rsidR="004654F2" w:rsidRPr="004654F2" w:rsidRDefault="004654F2" w:rsidP="004654F2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4F2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сверб</w:t>
            </w:r>
            <w:proofErr w:type="spellEnd"/>
            <w:r w:rsidRPr="004654F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і</w:t>
            </w:r>
            <w:proofErr w:type="spellStart"/>
            <w:r w:rsidRPr="004654F2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ння</w:t>
            </w:r>
            <w:proofErr w:type="spellEnd"/>
            <w:r w:rsidRPr="004654F2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 w:rsidRPr="004654F2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шкіри</w:t>
            </w:r>
            <w:proofErr w:type="spellEnd"/>
          </w:p>
          <w:p w:rsidR="004654F2" w:rsidRPr="004654F2" w:rsidRDefault="004654F2" w:rsidP="004654F2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4F2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крововиливи</w:t>
            </w:r>
            <w:proofErr w:type="spellEnd"/>
          </w:p>
          <w:p w:rsidR="004654F2" w:rsidRPr="004654F2" w:rsidRDefault="004654F2" w:rsidP="004654F2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3.2.  Лабораторні  критерії:</w:t>
            </w:r>
          </w:p>
          <w:p w:rsidR="004654F2" w:rsidRPr="004654F2" w:rsidRDefault="004654F2" w:rsidP="004654F2">
            <w:pPr>
              <w:keepNext/>
              <w:numPr>
                <w:ilvl w:val="0"/>
                <w:numId w:val="5"/>
              </w:numPr>
              <w:tabs>
                <w:tab w:val="left" w:pos="175"/>
              </w:tabs>
              <w:spacing w:line="360" w:lineRule="auto"/>
              <w:ind w:left="0" w:right="-766" w:firstLine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65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465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5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сечі</w:t>
            </w:r>
            <w:proofErr w:type="spellEnd"/>
          </w:p>
          <w:p w:rsidR="004654F2" w:rsidRPr="004654F2" w:rsidRDefault="004654F2" w:rsidP="004654F2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протеїнурія</w:t>
            </w:r>
          </w:p>
          <w:p w:rsidR="004654F2" w:rsidRPr="004654F2" w:rsidRDefault="004654F2" w:rsidP="004654F2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гіпоізостенурія</w:t>
            </w:r>
            <w:proofErr w:type="spellEnd"/>
          </w:p>
          <w:p w:rsidR="004654F2" w:rsidRPr="004654F2" w:rsidRDefault="004654F2" w:rsidP="004654F2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циліндрурія</w:t>
            </w:r>
            <w:proofErr w:type="spellEnd"/>
          </w:p>
          <w:p w:rsidR="004654F2" w:rsidRPr="004654F2" w:rsidRDefault="004654F2" w:rsidP="004654F2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можлива </w:t>
            </w:r>
            <w:proofErr w:type="spellStart"/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абактеріальна</w:t>
            </w:r>
            <w:proofErr w:type="spellEnd"/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лейкоцитурія</w:t>
            </w:r>
            <w:proofErr w:type="spellEnd"/>
          </w:p>
          <w:p w:rsidR="004654F2" w:rsidRPr="004654F2" w:rsidRDefault="004654F2" w:rsidP="004654F2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можлива гематурія</w:t>
            </w:r>
          </w:p>
          <w:p w:rsidR="004654F2" w:rsidRPr="004654F2" w:rsidRDefault="004654F2" w:rsidP="004654F2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крові</w:t>
            </w:r>
          </w:p>
          <w:p w:rsidR="004654F2" w:rsidRPr="004654F2" w:rsidRDefault="004654F2" w:rsidP="004654F2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клінічний</w:t>
            </w:r>
          </w:p>
          <w:p w:rsidR="004654F2" w:rsidRPr="004654F2" w:rsidRDefault="004654F2" w:rsidP="004654F2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анемія </w:t>
            </w:r>
          </w:p>
          <w:p w:rsidR="004654F2" w:rsidRPr="004654F2" w:rsidRDefault="004654F2" w:rsidP="004654F2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швидкості зсідання еритроцитів (ШЗЕ)</w:t>
            </w:r>
          </w:p>
          <w:p w:rsidR="004654F2" w:rsidRPr="004654F2" w:rsidRDefault="004654F2" w:rsidP="004654F2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можливий помірний лейкоцитоз</w:t>
            </w:r>
          </w:p>
          <w:p w:rsidR="004654F2" w:rsidRPr="004654F2" w:rsidRDefault="004654F2" w:rsidP="004654F2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можливе зрушення лейкоцитарної формулі вліво</w:t>
            </w:r>
          </w:p>
          <w:p w:rsidR="004654F2" w:rsidRPr="004654F2" w:rsidRDefault="004654F2" w:rsidP="004654F2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можлива </w:t>
            </w:r>
            <w:proofErr w:type="spellStart"/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тромбоцитопенія</w:t>
            </w:r>
            <w:proofErr w:type="spellEnd"/>
          </w:p>
          <w:p w:rsidR="004654F2" w:rsidRPr="004654F2" w:rsidRDefault="004654F2" w:rsidP="004654F2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біохімічний</w:t>
            </w:r>
          </w:p>
          <w:p w:rsidR="004654F2" w:rsidRPr="004654F2" w:rsidRDefault="004654F2" w:rsidP="004654F2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збільшення рівнів сечовини, </w:t>
            </w:r>
            <w:proofErr w:type="spellStart"/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креатиніну</w:t>
            </w:r>
            <w:proofErr w:type="spellEnd"/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залишкового азоту в крові</w:t>
            </w:r>
          </w:p>
          <w:p w:rsidR="004654F2" w:rsidRPr="004654F2" w:rsidRDefault="004654F2" w:rsidP="004654F2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загальних ліпідів, В-ліпопротеїдів</w:t>
            </w:r>
          </w:p>
          <w:p w:rsidR="004654F2" w:rsidRPr="004654F2" w:rsidRDefault="004654F2" w:rsidP="004654F2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гіперкаліемія</w:t>
            </w:r>
            <w:proofErr w:type="spellEnd"/>
          </w:p>
          <w:p w:rsidR="004654F2" w:rsidRPr="004654F2" w:rsidRDefault="004654F2" w:rsidP="004654F2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гіпокоагуляція</w:t>
            </w:r>
            <w:proofErr w:type="spellEnd"/>
          </w:p>
          <w:p w:rsidR="004654F2" w:rsidRPr="004654F2" w:rsidRDefault="004654F2" w:rsidP="004654F2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гіпокальціемія</w:t>
            </w:r>
            <w:proofErr w:type="spellEnd"/>
          </w:p>
          <w:p w:rsidR="004654F2" w:rsidRPr="004654F2" w:rsidRDefault="004654F2" w:rsidP="004654F2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гіперфосфатемія</w:t>
            </w:r>
            <w:proofErr w:type="spellEnd"/>
          </w:p>
          <w:p w:rsidR="004654F2" w:rsidRPr="004654F2" w:rsidRDefault="004654F2" w:rsidP="004654F2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можлива </w:t>
            </w:r>
            <w:proofErr w:type="spellStart"/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гіподиспротеїнемія</w:t>
            </w:r>
            <w:proofErr w:type="spellEnd"/>
          </w:p>
          <w:p w:rsidR="004654F2" w:rsidRPr="004654F2" w:rsidRDefault="004654F2" w:rsidP="004654F2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гіперхолестеринемія</w:t>
            </w:r>
            <w:proofErr w:type="spellEnd"/>
            <w:r w:rsidRPr="0046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</w:tcPr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4F2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нефролог</w:t>
            </w: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Сич В.І.</w:t>
            </w: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4654F2" w:rsidRPr="00C6610E" w:rsidTr="00BA1D5F">
        <w:tc>
          <w:tcPr>
            <w:tcW w:w="1668" w:type="dxa"/>
          </w:tcPr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454" w:type="dxa"/>
          </w:tcPr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Основними   задачами  дієтичного  лікування   при   ХНН  є: </w:t>
            </w:r>
          </w:p>
          <w:p w:rsidR="00DD7FAB" w:rsidRPr="00DD7FAB" w:rsidRDefault="00DD7FAB" w:rsidP="00DD7FAB">
            <w:pPr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Зменшення   вживання   білка  з   їжею -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низькобілкова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дієта  (НБД);</w:t>
            </w:r>
          </w:p>
          <w:p w:rsidR="00DD7FAB" w:rsidRPr="00DD7FAB" w:rsidRDefault="00DD7FAB" w:rsidP="00DD7FAB">
            <w:pPr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 споживання   рідини;</w:t>
            </w:r>
          </w:p>
          <w:p w:rsidR="00DD7FAB" w:rsidRPr="00DD7FAB" w:rsidRDefault="00DD7FAB" w:rsidP="00DD7FAB">
            <w:pPr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Зменшення  вживання   продуктів,   що   містять     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фосфати.   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Обмеження вживання білка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(НБД) сприяє гальмуванню прогресування ХНН: зменшується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внутрішньоклубочкова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гіпертензія і гіпертрофія   клубочків,  протеїнурія),  знижується   частота   розвитку   вторинного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гіперпаратиреозу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та   пов’язаних  з   ним   остеодистрофій, зменшуються   симптоми   уремії   та  рівень продуктів  азотистого   обміну,   більшість з  яких  є   продуктами   метаболізму білка, тому рішення  старту  лікування   методами ЗНТ       приймається  пізніше. 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 щ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оденного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обмеження   споживання   білкової   їжі   залежить   від   ступеня   ХНН.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При  ХНН 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ст. за відсутності ознак прогресування (стабільні   показники   ШКФ  за   останні   6-8  місяців,   наявність   функціонального   резерву   нирок)   можна   призначати  НБД  з   розрахунку   кількості   білка  0,9-1,0г/кг/добу,   калорійністю  не   нижче 35 ккал/кг  (2200-2500 ккал/добу).  Перевагу   надають   білкам   рослинного   походження, в яких низький вміст фосфору. За наявності   ознак   швидкого   прогресування,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нефротичного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синдрому, при відсутньому   функціональному резерві   нирок  (як   правило, це   хворі   на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гломерулонефрит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з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нефротичним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синдромом   на   тлі   системних   захворювань   сполучної   тканини, з   діабетичною   нефропатією)   призначають   НБД  з   розрахунку  0,6-</w:t>
            </w:r>
            <w:smartTag w:uri="urn:schemas-microsoft-com:office:smarttags" w:element="metricconverter">
              <w:smartTagPr>
                <w:attr w:name="ProductID" w:val="0,7 г"/>
              </w:smartTagPr>
              <w:r w:rsidRPr="00DD7FAB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0,7 г</w:t>
              </w:r>
            </w:smartTag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білка/кг/добу   та   калорійністю  35-40 ккал/кг/добу.    Білок  переважно   тваринного   походження   або   з   сої. Він легко  засвоюється,   містить менше   холестерину,  фосфору, пуринів, за   вмістом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поліненасичених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жирних кислот, вітамінів, мікроелементів має   перевагу   над   тваринними   білками. Жири  (бажано рослинного   походження), в   достатній   кількості  (100-110г/добу), адже   вони   забезпечують   калорійність   їжі.   Джерелом   вуглеводів  є   продукти   рослинного  походження. Слід обмежити   бобові,  гриби,   горіхи,   насіння   гарбуза   та   соняшників.   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ри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ХНН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II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ст. кількість  білка   обмежують   до  0,6 г/кг/добу,   калію до 2,7 г/добу,   фосфору  до  0,7 г/добу. Калорійність   їжі -35-40ккал/кг.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При ХНН 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III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ст.  кількість   білка   обмежують   до  0,5 г/кг/добу,  значно обмежують калій - 1,6 г/добу та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фосфор-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400 мг/добу.    Калорійність їжі має бути  2700-3000 ккал/добу. 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Слід пам’ятати, що тривале   споживання   НБД може   супроводжуватися негативним   азотистим   балансом з наростанням   метаболічного   ацидозу, розвитком білково-енергетичної  недостатності,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гіперкатаболізму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 дистрофії,  тяжкої   анемії. В таких випадках доцільне призначення препаратів, що містять   амінокислоти: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кетостерил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(суміш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кетоаналогів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есенціальних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амінокислот), розчини амінокислот –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аміностерил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E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нефробезвуглеводний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або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нефрамін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Водно-сольовий   режим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хворих   залежить   від     важкості 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нефротичного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синдрому,   добового   діурезу,   проявів   набрякового   синдрому,   серцевої   недостатності   і   артеріальної   гіпертензії.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Хворим   з   ХНН  та   збереженим   діурезом  чи поліурією,  без   набряків,   серцевої  декомпенсації   та  зі скорегованою   гіпертензією, що   спостерігається,   як   правило,   при   сечовому   синдромі,   дозволяється  вживання великої   кількості   рідини - до   3,5л,  що   сприяє   виведенню   уремічних   токсинів.   Обмеження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NaCl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становить  10-15 г/добу.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  хронічних    ураженнях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тубуло-інтерстиціальної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тканини слід зважати на можливість розвитку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гіповолемії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хворі з  “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сільвтрачаючою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ниркою”.   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  умови  виникнення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олігурії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водне  навантаження   може   бути більше за   діурез   тільки   на  300-500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кількість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NaCl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обмежується   до   5 г/добу.</w:t>
            </w:r>
          </w:p>
          <w:p w:rsidR="00DD7FAB" w:rsidRPr="00DD7FAB" w:rsidRDefault="00DD7FAB" w:rsidP="00DD7FAB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Корекція   кальцій-фосфатних   розладів.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Порушення   метаболізму кальцію   та  фосфору   відіграє важливу   роль    в   прогресуванні   хронічних   захворювань   нирок. Підвищений   рівень фосфору сироватки (рис.4)   і  потім розвиток  вторинного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гіперпаратиреозу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(ВГПТ)  не лише  сприяє розвитку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остеопатії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але  й   має   значення   в прогресуванні    ХНН  та   збільшенні  ризику   смерті .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Підвищення   смертності,   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пов’язаної   з  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гіперфосфатемією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пояснюють  відкладанням депозитів фосфату кальцію  у   м’яких   тканинах, 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кальцифікацією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коронарних   артерій, серцевих   клапанів    та   міокарду.  Надмірне   збільшення   рівня  ПТГ  спричинює погіршення   біоенергетики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міокардіоцитів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посилення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міокардіофіброзу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поглиблення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дисліпідемії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гіпертрофії   лівого   шлуночка  і,  що   найнебезпечніше,   можливі  випадки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кальцифілаксії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Критичною величиною є рівень   ПТГ   понад  800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Головними   напрямками   в   профілактиці   та   лікуванні   ВГПТ  є  вплив   на   основні   ланки   патогенезу:   зменшення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гіперфосфатемії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підвищення   концентрації   кальцію   та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кальцитріолу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   крові.   Неефективність   консервативної   терапії   вимагає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паратиреоїдектомії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Метою лікування   порушень   кальцієво-фосфорного обміну  є   підтримання,   особливо   у   хворих   на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додіалізному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етапі    захворювання,     рівня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фосфора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   сироватці   крові   в   межах   4,5-6 мг% (1мг%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фосфора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- 0,32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фосфата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  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Корекція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гіперфосфатемії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включає   перш   за   все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гіпофосфатну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дієту.    При   показниках   ШКФ 40 -  50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кількість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фосфора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  добовому   раціоні  не  повинна    перевищувати   800-1000 мг.   Великий   вміст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фосфора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   молоці   та  молочних продуктах (сири, йогурти, креми, морозиво); бобах,  яйцях,   печінці,   лівері, лососі, сардинах, тунці, кукурудзі, ячмені, напоях (пиво,  кола),  шоколаді,  горіхах.     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  ШКФ   нижче   40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крім   дієтичного обмеження   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фосфору  до   1г/добу  призначають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фосфатзв’язуючі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препарати  (ФЗП) -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фосфатбіндери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зв’язують у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кишківнику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фосфор, що поступає з їжею. 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  умови   лікування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діалізними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методами  перше  місце   в   корекції   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гіперфосфатемії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надають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фосфатбіндерам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Фосфатбіндери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поділяють на три групи –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алюміній-вміщуючі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кальцій-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вміщуючі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синтетичні, що не містять ні алюмінію, ні кальцію.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Препарати  першої групи   містять гідроокис алюмінію і застосовуються 15-30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або  1-3   капсули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перорально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під час їжі. Вони мають побічний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ефект-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накопичення в організмі іонів алюмінію, що викликають остеомаляцію та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енцефалопатію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тому обмежені у використанні  особливо  у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діалізних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пацієнтів.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другої групи відносяться  похідні кальцію – карбонат,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глюконат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ацетат, лактат та ін. Препарати добре зв’язують фосфати, проте можливий розвиток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гіперкальціемії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Препарати   кальцію   не   призначають    при   концентрації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фосфора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   сироватці   крові   нижче  6   мг%. Вміст елементарного  кальцію у препаратах різний: карбонат – 40%, ацетат – 25%, лактат – 12% і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глюконат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8%.  Карбонат   кальцію   призначають   в   початковій   дозі  0,5-1,0г   елементарного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кальція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тричі   на   добу   під   час   їжі.   Дозу   збільшують   кожні  2-4   тижні   під контролем  рівня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фосфора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 сироватці   крові. Оптимальною  вважається добова доза 6,0г елементарного кальцію,  максимальною -9,0г. Не слід 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використовувати цитрат кальцію та інші цитрати, тому що ці препарати сприяють всмоктуванню у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кишківнику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алюмінію.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Найбільший інтерес викликає остання група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фосфатбіндерів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синтетичні полімерні препарати,  зокрема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Renagel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Ці препарати не містять ні алюмінію, ні кальцію і тому позбавлені ризику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гіперкальціємії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розвитку алюмінієвої   токсичності. Крім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фосфатзв’язуючої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дії,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Renagel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знижує рівень холестерину та ліпопротеїдів низької щільності.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станом   фосфорно-кальцієвого   обміну   проводиться  за   рівнем   загального   кальцію   та   фосфору   плазми   кожні   2   тижні.   Рівень   іонізованого   кальцію   слід   перевіряти   1   раз  на   3   місяці  та   підтримувати   в   межах  1,4-1,5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/л.    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Відсутність ефекту від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гіпофосфатної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дієти,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фосфатбіндерів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збільшення ефективності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діалізної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терапії (неефективність корекції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гіпокальціемії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прийманням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кальціймістких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ФЗП, підвищення рівня ПТГ&gt; 200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підвищення показників специфічної лужної фосфатази і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остеокальцину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рівні ПТГ від 120 до 200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персистуюча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гіпокальціемія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умов ефективної корекції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гіперфосфатемії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є   показанням   до   призначення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кальцитріолу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(рис.4) . 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Хворим з ХНН показані препарати, які містять  активні форми вітаміну  Д, тобто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гідроксильовані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положенні 1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1"/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кальцитріол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(1,25-дигідроксихолекальциферол-“Рокальтрол”), 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1"/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-кальцидол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1"/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-гідроксихоле-кальциферол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–“Альфа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”), 22-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оксикальцитріол,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перикальцитріол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(19-нор-1,25- (OH)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вітамін Д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-Тева (Ізраїль),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гексакальцитріол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“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Оксидевіт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”(Росія),  “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Ванальфа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(Японія).  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   при   лікуванні  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  виникає   помірна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гіперкальціемія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(загальний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–2,6-2,9ммоль/л) та/або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гіперфосфатемія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а   також  збільшення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Сa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PO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&gt; 6,0     необхідно   знизити дозу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 вдвічі, або відмінити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кальцитріолу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  нормалізації   показників  фосфору   та   кальцію, призначити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фосфатбіндери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та  використовувати діалізат з концентрацією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кальція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1,25-1,5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/л.          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Більшість експертів вважає, що оптимальний рівень  ПТГ   у  хворих  з  ХНН на діалізі  повинен бути нижче 18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pmol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/l (200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пг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мл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),   а   саме   120- 195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пг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мл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та   контролюватися   кожні   3   місяці . </w:t>
            </w:r>
          </w:p>
          <w:p w:rsidR="004654F2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Неефективність   вищеназваної   терапії   та  підвищення   рівня   ПТГ   понад  1000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є   показаннями   до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паратиреоїдектомії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(ПТЕ)</w:t>
            </w:r>
          </w:p>
          <w:p w:rsidR="00DD7FAB" w:rsidRPr="00DD7FAB" w:rsidRDefault="00DD7FAB" w:rsidP="00DD7FAB">
            <w:pPr>
              <w:shd w:val="clear" w:color="auto" w:fill="FFFFFF"/>
              <w:spacing w:before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Рівень   бікарбонатів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повинен  підтримуватися &gt; 21mmol/l. Його    корекція    знижує    темпи   прогресування   вторинного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гіперпаратиреозу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у   пацієнтів   з   високим   кістковим   синтезом  та   стимулює   синтез   кісток  у   пацієнтів   з  їх   недостачею .   </w:t>
            </w:r>
          </w:p>
          <w:p w:rsidR="00DD7FAB" w:rsidRPr="00DD7FAB" w:rsidRDefault="00DD7FAB" w:rsidP="00DD7FAB">
            <w:pPr>
              <w:shd w:val="clear" w:color="auto" w:fill="FFFFFF"/>
              <w:spacing w:before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u w:val="single"/>
                <w:lang w:eastAsia="ru-RU"/>
              </w:rPr>
              <w:t>К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онтроль   артеріального   тиску(АТ)   та   рівня   протеїнурії.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Максимальне   збереження   функції   нирок,   зменшення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серцево-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судинних  захворювань   та   смертності можливе   лише   за   умови  зниження   АТ   нижче   130/80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мм.рт.ст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Рівень протеїнурії   необхідно приймати    до уваги при визначенні    цільового   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АТ. 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Пацієнти з протеїнурією  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ym w:font="Symbol" w:char="F0A3"/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1/добу  повинні   мати  АТ 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ym w:font="Symbol" w:char="F0A3"/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130/ </w:t>
            </w:r>
            <w:smartTag w:uri="urn:schemas-microsoft-com:office:smarttags" w:element="metricconverter">
              <w:smartTagPr>
                <w:attr w:name="ProductID" w:val="85 мм"/>
              </w:smartTagPr>
              <w:r w:rsidRPr="00DD7FAB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 xml:space="preserve">85 </w:t>
              </w:r>
              <w:proofErr w:type="spellStart"/>
              <w:r w:rsidRPr="00DD7FAB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мм</w:t>
              </w:r>
            </w:smartTag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.рт.ст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(середній  АТ 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ym w:font="Symbol" w:char="F0A3"/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D7FAB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 xml:space="preserve">100 </w:t>
              </w:r>
              <w:proofErr w:type="spellStart"/>
              <w:r w:rsidRPr="00DD7FAB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мм</w:t>
              </w:r>
            </w:smartTag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.рт.ст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);  пацієнти з протеїнурією &gt; 1г/добу - 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ym w:font="Symbol" w:char="F0A3"/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125/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DD7FAB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 xml:space="preserve">75 </w:t>
              </w:r>
              <w:proofErr w:type="spellStart"/>
              <w:r w:rsidRPr="00DD7FAB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мм</w:t>
              </w:r>
            </w:smartTag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.рт.ст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(середній   АТ 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ym w:font="Symbol" w:char="F0A3"/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92 мм"/>
              </w:smartTagPr>
              <w:r w:rsidRPr="00DD7FAB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 xml:space="preserve">92 </w:t>
              </w:r>
              <w:proofErr w:type="spellStart"/>
              <w:r w:rsidRPr="00DD7FAB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мм</w:t>
              </w:r>
            </w:smartTag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.рт.ст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). 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Всі   гіпотензивні   препарати зменшують   ступінь   ураження   нирок шляхом   корекції   АТ,    а   деякі з   них   мають і 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ренопротекторні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ефекти,   незалежні   від   гіпотензивної   дії. 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Інгібітори   АПФ (ІАПФ) та  блокатори    рецепторів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ангіотензину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II  (БРА)   більш   істотно   ніж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діуретики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  антагоністи   кальцію,   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ym w:font="Symbol" w:char="F062"/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-блокатори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  зменшують   протеїнурію   та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мікроальбумінурію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  гальмують   прогресування  ниркових   захворювань   та   покращують   виживання   хворих   на   хронічні   захворювання   нирок. ІАПФ   доцільно   призначити   всім   хворим  з  діабетичною   нефропатією   на  тлі   цукрового   діабету  (ЦД)   І та ІІ   типів,    хворим  з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недіабетичними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ураженнями   нирок   незалежно   від   рівня  АТ  та  протеїнурії,   але   їх  добова   доза   залежить   від   цифр     АТ.  Крім   гіпотензивного  ефекту,   ІАПФ   здатні   зменшувати   протеїнурію,   позитивно   впливати  на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внутрішньониркову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гемодинаміку,  блокувати   фактори росту та запалення,  зменшувати   проникність   базальної мембрани клубочків,   покращувати функції   ендотелію.    Застосовують    ІАПФ   трьох   класів (табл.4).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Каптоприл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-добре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вивчений   препарат 1   класу  з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нефропротекторною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дією,   однак   він  короткодіючий  (6-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8  годин) і   призначається 3- 4   рази   на   добу.   Препарати  2   класу  мають  більш   тривалий   період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напіввиведення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(18-24   год.)  та   призначаються   1-2   рази   на   добу.  Однак    усі  вони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проліки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    поступають   в   організм   у   неактивному   стані,   потребують   метаболічної   активації   у   печінці.  За   рахунок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ліпофільності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ІАПФ  схильні    до  кумуляції   в   жировій   тканині   та   мало   ефективні  у   пацієнтів  з   надмірною   вагою.   Препарати  3   класу   діють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напротязі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24   годин   та   забезпечують   м’який   стабільний   ефект. </w:t>
            </w:r>
          </w:p>
          <w:p w:rsidR="00DD7FAB" w:rsidRPr="00DD7FAB" w:rsidRDefault="00DD7FAB" w:rsidP="00DD7FAB">
            <w:pPr>
              <w:pStyle w:val="2"/>
              <w:ind w:right="0"/>
              <w:rPr>
                <w:sz w:val="24"/>
                <w:szCs w:val="24"/>
              </w:rPr>
            </w:pPr>
            <w:r w:rsidRPr="00DD7FAB">
              <w:rPr>
                <w:sz w:val="24"/>
                <w:szCs w:val="24"/>
              </w:rPr>
              <w:t xml:space="preserve">У   перші  2  місяці   прийому   може   спостерігатися  </w:t>
            </w:r>
            <w:proofErr w:type="spellStart"/>
            <w:r w:rsidRPr="00DD7FAB">
              <w:rPr>
                <w:sz w:val="24"/>
                <w:szCs w:val="24"/>
              </w:rPr>
              <w:t>транзиторне</w:t>
            </w:r>
            <w:proofErr w:type="spellEnd"/>
            <w:r w:rsidRPr="00DD7FAB">
              <w:rPr>
                <w:sz w:val="24"/>
                <w:szCs w:val="24"/>
              </w:rPr>
              <w:t xml:space="preserve">  підвищення   концентрації   </w:t>
            </w:r>
            <w:proofErr w:type="spellStart"/>
            <w:r w:rsidRPr="00DD7FAB">
              <w:rPr>
                <w:sz w:val="24"/>
                <w:szCs w:val="24"/>
              </w:rPr>
              <w:t>креатиніну</w:t>
            </w:r>
            <w:proofErr w:type="spellEnd"/>
            <w:r w:rsidRPr="00DD7FAB">
              <w:rPr>
                <w:sz w:val="24"/>
                <w:szCs w:val="24"/>
              </w:rPr>
              <w:t xml:space="preserve">  в   сироватці   крові,   яке   розглядається як  наслідок   змін   ниркової   гемодинаміки. Призначення   ІАПФ   потребує   контролю   рівня   </w:t>
            </w:r>
            <w:proofErr w:type="spellStart"/>
            <w:r w:rsidRPr="00DD7FAB">
              <w:rPr>
                <w:sz w:val="24"/>
                <w:szCs w:val="24"/>
              </w:rPr>
              <w:t>креатиніну</w:t>
            </w:r>
            <w:proofErr w:type="spellEnd"/>
            <w:r w:rsidRPr="00DD7FAB">
              <w:rPr>
                <w:sz w:val="24"/>
                <w:szCs w:val="24"/>
              </w:rPr>
              <w:t>, особливо при    рівні   останнього   &gt; 0,25ммоль/л.</w:t>
            </w:r>
          </w:p>
          <w:p w:rsidR="00DD7FAB" w:rsidRPr="00DD7FAB" w:rsidRDefault="00DD7FAB" w:rsidP="00DD7FAB">
            <w:pPr>
              <w:pStyle w:val="2"/>
              <w:ind w:right="0"/>
              <w:rPr>
                <w:sz w:val="24"/>
                <w:szCs w:val="24"/>
              </w:rPr>
            </w:pPr>
            <w:r w:rsidRPr="00DD7FAB">
              <w:rPr>
                <w:sz w:val="24"/>
                <w:szCs w:val="24"/>
              </w:rPr>
              <w:t xml:space="preserve">У   більшості   хворих    через   3-6   тижнів   функціональні    показники   нирок  покращуються, а рівень </w:t>
            </w:r>
            <w:proofErr w:type="spellStart"/>
            <w:r w:rsidRPr="00DD7FAB">
              <w:rPr>
                <w:sz w:val="24"/>
                <w:szCs w:val="24"/>
              </w:rPr>
              <w:t>креатиніну</w:t>
            </w:r>
            <w:proofErr w:type="spellEnd"/>
            <w:r w:rsidRPr="00DD7FAB">
              <w:rPr>
                <w:sz w:val="24"/>
                <w:szCs w:val="24"/>
              </w:rPr>
              <w:t xml:space="preserve"> швидко  стабілізується,  а  потім  знижується.    Збільшення   рівня   </w:t>
            </w:r>
            <w:proofErr w:type="spellStart"/>
            <w:r w:rsidRPr="00DD7FAB">
              <w:rPr>
                <w:sz w:val="24"/>
                <w:szCs w:val="24"/>
              </w:rPr>
              <w:t>креатиніну</w:t>
            </w:r>
            <w:proofErr w:type="spellEnd"/>
            <w:r w:rsidRPr="00DD7FAB">
              <w:rPr>
                <w:sz w:val="24"/>
                <w:szCs w:val="24"/>
              </w:rPr>
              <w:t xml:space="preserve"> &lt;30%  на   фоні   прийому   ІАПФ,    не   вважається    показанням   для  їх відміни .   При   прогресуючому   погіршенні   функції   нирок   на   фоні   призначення   ІАПФ   або   БРА ІІ,   слід   виключити   двосторонній   стеноз   ниркових   артерій   або   стеноз   артерії  єдиної   нирки.  </w:t>
            </w:r>
            <w:proofErr w:type="spellStart"/>
            <w:r w:rsidRPr="00DD7FAB">
              <w:rPr>
                <w:sz w:val="24"/>
                <w:szCs w:val="24"/>
              </w:rPr>
              <w:t>Гіперкаліємія</w:t>
            </w:r>
            <w:proofErr w:type="spellEnd"/>
            <w:r w:rsidRPr="00DD7FAB">
              <w:rPr>
                <w:sz w:val="24"/>
                <w:szCs w:val="24"/>
              </w:rPr>
              <w:t xml:space="preserve">  є потенційно можливим   ускладненням  призначення   ІАПФ,   особливо  у  хворих   на   цукровий діабет  з  </w:t>
            </w:r>
            <w:proofErr w:type="spellStart"/>
            <w:r w:rsidRPr="00DD7FAB">
              <w:rPr>
                <w:sz w:val="24"/>
                <w:szCs w:val="24"/>
              </w:rPr>
              <w:lastRenderedPageBreak/>
              <w:t>нефротичним</w:t>
            </w:r>
            <w:proofErr w:type="spellEnd"/>
            <w:r w:rsidRPr="00DD7FAB">
              <w:rPr>
                <w:sz w:val="24"/>
                <w:szCs w:val="24"/>
              </w:rPr>
              <w:t xml:space="preserve">   синдромом   та  ХНН  при  проведенні паралельно </w:t>
            </w:r>
            <w:proofErr w:type="spellStart"/>
            <w:r w:rsidRPr="00DD7FAB">
              <w:rPr>
                <w:sz w:val="24"/>
                <w:szCs w:val="24"/>
              </w:rPr>
              <w:t>гемотрансфузій</w:t>
            </w:r>
            <w:proofErr w:type="spellEnd"/>
            <w:r w:rsidRPr="00DD7FAB">
              <w:rPr>
                <w:sz w:val="24"/>
                <w:szCs w:val="24"/>
              </w:rPr>
              <w:t xml:space="preserve"> (6</w:t>
            </w:r>
            <w:r w:rsidRPr="00DD7FAB">
              <w:rPr>
                <w:sz w:val="24"/>
                <w:szCs w:val="24"/>
              </w:rPr>
              <w:sym w:font="Symbol" w:char="F0B1"/>
            </w:r>
            <w:r w:rsidRPr="00DD7FAB">
              <w:rPr>
                <w:sz w:val="24"/>
                <w:szCs w:val="24"/>
              </w:rPr>
              <w:t>2%), при  кровотечах (носові, шлунково-кишкові), гемолізі, застосуванні медикаментів (</w:t>
            </w:r>
            <w:proofErr w:type="spellStart"/>
            <w:r w:rsidRPr="00DD7FAB">
              <w:rPr>
                <w:sz w:val="24"/>
                <w:szCs w:val="24"/>
              </w:rPr>
              <w:t>тріамтерен</w:t>
            </w:r>
            <w:proofErr w:type="spellEnd"/>
            <w:r w:rsidRPr="00DD7FAB">
              <w:rPr>
                <w:sz w:val="24"/>
                <w:szCs w:val="24"/>
              </w:rPr>
              <w:t xml:space="preserve">,  </w:t>
            </w:r>
            <w:proofErr w:type="spellStart"/>
            <w:r w:rsidRPr="00DD7FAB">
              <w:rPr>
                <w:sz w:val="24"/>
                <w:szCs w:val="24"/>
              </w:rPr>
              <w:t>маніт</w:t>
            </w:r>
            <w:proofErr w:type="spellEnd"/>
            <w:r w:rsidRPr="00DD7FAB">
              <w:rPr>
                <w:sz w:val="24"/>
                <w:szCs w:val="24"/>
              </w:rPr>
              <w:t xml:space="preserve">,  </w:t>
            </w:r>
            <w:proofErr w:type="spellStart"/>
            <w:r w:rsidRPr="00DD7FAB">
              <w:rPr>
                <w:sz w:val="24"/>
                <w:szCs w:val="24"/>
              </w:rPr>
              <w:t>спіронолактон</w:t>
            </w:r>
            <w:proofErr w:type="spellEnd"/>
            <w:r w:rsidRPr="00DD7FAB">
              <w:rPr>
                <w:sz w:val="24"/>
                <w:szCs w:val="24"/>
              </w:rPr>
              <w:t xml:space="preserve">),   сепсисі.     Виникнення   </w:t>
            </w:r>
            <w:proofErr w:type="spellStart"/>
            <w:r w:rsidRPr="00DD7FAB">
              <w:rPr>
                <w:sz w:val="24"/>
                <w:szCs w:val="24"/>
              </w:rPr>
              <w:t>гіперкаліємії</w:t>
            </w:r>
            <w:proofErr w:type="spellEnd"/>
            <w:r w:rsidRPr="00DD7FAB">
              <w:rPr>
                <w:sz w:val="24"/>
                <w:szCs w:val="24"/>
              </w:rPr>
              <w:t xml:space="preserve">  потребує відповідних  дієтичних   обмежень.   Вона рідко потребує   медикаментозного   лікування,  однак   необхідно   пам’ятати    про    доцільність    застосування   </w:t>
            </w:r>
            <w:proofErr w:type="spellStart"/>
            <w:r w:rsidRPr="00DD7FAB">
              <w:rPr>
                <w:sz w:val="24"/>
                <w:szCs w:val="24"/>
              </w:rPr>
              <w:t>глюконату</w:t>
            </w:r>
            <w:proofErr w:type="spellEnd"/>
            <w:r w:rsidRPr="00DD7FAB">
              <w:rPr>
                <w:sz w:val="24"/>
                <w:szCs w:val="24"/>
              </w:rPr>
              <w:t xml:space="preserve">  кальцію 10%-10мл  </w:t>
            </w:r>
            <w:proofErr w:type="spellStart"/>
            <w:r w:rsidRPr="00DD7FAB">
              <w:rPr>
                <w:sz w:val="24"/>
                <w:szCs w:val="24"/>
              </w:rPr>
              <w:t>довенно</w:t>
            </w:r>
            <w:proofErr w:type="spellEnd"/>
            <w:r w:rsidRPr="00DD7FAB">
              <w:rPr>
                <w:sz w:val="24"/>
                <w:szCs w:val="24"/>
              </w:rPr>
              <w:t xml:space="preserve">, глюкози з інсуліном,  бікарбонату натрію,  іонообмінної  смоли,   розчину   сорбіту.   </w:t>
            </w:r>
          </w:p>
          <w:p w:rsidR="00DD7FAB" w:rsidRPr="00DD7FAB" w:rsidRDefault="00DD7FAB" w:rsidP="00DD7FAB">
            <w:pPr>
              <w:pStyle w:val="2"/>
              <w:ind w:right="0"/>
              <w:rPr>
                <w:sz w:val="24"/>
                <w:szCs w:val="24"/>
              </w:rPr>
            </w:pPr>
            <w:r w:rsidRPr="00DD7FAB">
              <w:rPr>
                <w:sz w:val="24"/>
                <w:szCs w:val="24"/>
              </w:rPr>
              <w:t xml:space="preserve">Блокатори   рецепторів </w:t>
            </w:r>
            <w:proofErr w:type="spellStart"/>
            <w:r w:rsidRPr="00DD7FAB">
              <w:rPr>
                <w:sz w:val="24"/>
                <w:szCs w:val="24"/>
              </w:rPr>
              <w:t>ангіотензину</w:t>
            </w:r>
            <w:proofErr w:type="spellEnd"/>
            <w:r w:rsidRPr="00DD7FAB">
              <w:rPr>
                <w:sz w:val="24"/>
                <w:szCs w:val="24"/>
              </w:rPr>
              <w:t xml:space="preserve"> II (БРА) (табл. 5) визнані одними із   найкращих   засобів   лікування   АГ,   профілактики   та   ураження   нирок   при   цукровому   діабеті.  Вони зменшують   загальний   периферичний  опір   судин, забезпечують поступове  та   стійке   зниження   АТ,   </w:t>
            </w:r>
            <w:proofErr w:type="spellStart"/>
            <w:r w:rsidRPr="00DD7FAB">
              <w:rPr>
                <w:sz w:val="24"/>
                <w:szCs w:val="24"/>
              </w:rPr>
              <w:t>органопротекторну</w:t>
            </w:r>
            <w:proofErr w:type="spellEnd"/>
            <w:r w:rsidRPr="00DD7FAB">
              <w:rPr>
                <w:sz w:val="24"/>
                <w:szCs w:val="24"/>
              </w:rPr>
              <w:t xml:space="preserve">   дію  на   серцево-судинну   систему   та  нирки,   проявами   якої   є  регрес  гіпертрофії   серця   та   судин,   сповільнення   прогресування   атеросклерозу,  зменшення   тиску   у   клубочках   нирок,   корекція   функції   </w:t>
            </w:r>
            <w:proofErr w:type="spellStart"/>
            <w:r w:rsidRPr="00DD7FAB">
              <w:rPr>
                <w:sz w:val="24"/>
                <w:szCs w:val="24"/>
              </w:rPr>
              <w:t>мезангіальних</w:t>
            </w:r>
            <w:proofErr w:type="spellEnd"/>
            <w:r w:rsidRPr="00DD7FAB">
              <w:rPr>
                <w:sz w:val="24"/>
                <w:szCs w:val="24"/>
              </w:rPr>
              <w:t xml:space="preserve">   клітин,  попередження   процесів   склерозування  клубочків. 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БРА рекомендують для   лікування  хворих  на  ЦД-2-го   типу, оскільки вони  ефективно   впливають  на   гальмування   прогресування   альбумінурії,   розвитку   та  прогресування   нефропатії.  Доведено,   що   застосування    БРА  у  цих хворих    по  перше:   сповільнює   прогресування  </w:t>
            </w:r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від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мікроальбумінурії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до   розгорнутої   нефропатії;   по-друге:  в   середньому   на  два   роки    гальмує  прогресування   ХНН   до   кінцевої   стадії; по-третє: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нефропротекторна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дія   БРА  не   залежить   від   ступеня  зниження   АТ,   а   визначається   специфічним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нефропротекторним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органозахисним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впливом   препаратів   цієї   групи. </w:t>
            </w:r>
          </w:p>
          <w:p w:rsidR="00DD7FAB" w:rsidRPr="00DD7FAB" w:rsidRDefault="00DD7FAB" w:rsidP="00DD7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Блокатори   кальцієвих  канальців, а саме група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ніфедіпіну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дигідроперединові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ефективно   зменшують   АТ,   однак   не   впливають   на   рівень   протеїнурії  та   прогресування  ХНН,   що   пов’язано   з   їх   властивістю   різко  зменшувати   тонус   аферентної   артеріоли   та   посилювати  гідравлічний  удар   при   високому   системному   АТ. Навпаки,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негідроперидинові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блокатори   кальцієвих  канальців  (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верапаміл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дилтіазем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практично   не   впливають   на   механізм   ниркової   авторегуляції,   сприяють   зменшенню   протеїнурії,  гальмують   проліферацію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мезангія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та   фіброз   клубочків   та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інтерстиція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7FAB" w:rsidRPr="00DD7FAB" w:rsidRDefault="00DD7FAB" w:rsidP="00DD7FAB">
            <w:pPr>
              <w:rPr>
                <w:sz w:val="28"/>
              </w:rPr>
            </w:pP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Досягнення   цільового   АТ   при  хронічних   захворюваннях   нирок   відбувається   при    призначенні кількох препаратів. </w:t>
            </w:r>
            <w:r w:rsidRPr="00DD7F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Корекція   гіперактивності   симпатичної   системи</w:t>
            </w:r>
            <w:r w:rsidRPr="00DD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FAB">
              <w:rPr>
                <w:rFonts w:ascii="Times New Roman" w:hAnsi="Times New Roman" w:cs="Times New Roman"/>
                <w:sz w:val="24"/>
                <w:szCs w:val="24"/>
              </w:rPr>
              <w:t xml:space="preserve">є фактором, який   впливає на  перебіг   нефропатій   шляхом зменшення  </w:t>
            </w:r>
            <w:proofErr w:type="spellStart"/>
            <w:r w:rsidRPr="00DD7FAB">
              <w:rPr>
                <w:rFonts w:ascii="Times New Roman" w:hAnsi="Times New Roman" w:cs="Times New Roman"/>
                <w:sz w:val="24"/>
                <w:szCs w:val="24"/>
              </w:rPr>
              <w:t>вазоконстрикції</w:t>
            </w:r>
            <w:proofErr w:type="spellEnd"/>
            <w:r w:rsidRPr="00DD7FAB">
              <w:rPr>
                <w:rFonts w:ascii="Times New Roman" w:hAnsi="Times New Roman" w:cs="Times New Roman"/>
                <w:sz w:val="24"/>
                <w:szCs w:val="24"/>
              </w:rPr>
              <w:t xml:space="preserve">  еферентної   артеріоли, що сприяє     </w:t>
            </w:r>
            <w:proofErr w:type="spellStart"/>
            <w:r w:rsidRPr="00DD7FAB">
              <w:rPr>
                <w:rFonts w:ascii="Times New Roman" w:hAnsi="Times New Roman" w:cs="Times New Roman"/>
                <w:sz w:val="24"/>
                <w:szCs w:val="24"/>
              </w:rPr>
              <w:t>гіперфільтрації</w:t>
            </w:r>
            <w:proofErr w:type="spellEnd"/>
            <w:r w:rsidRPr="00DD7FAB">
              <w:rPr>
                <w:rFonts w:ascii="Times New Roman" w:hAnsi="Times New Roman" w:cs="Times New Roman"/>
                <w:sz w:val="24"/>
                <w:szCs w:val="24"/>
              </w:rPr>
              <w:t xml:space="preserve">   та   прогресуванню     склеротичних   процесів. До   методів   корекції   гіперактивності   симпатичної системи   відносять   </w:t>
            </w:r>
            <w:r w:rsidRPr="00DD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обмеження  білка,   хлориду   натрію,   холестерину,   насичених   жирів,   корекцію  зайвої   ваги, припинення </w:t>
            </w:r>
            <w:proofErr w:type="spellStart"/>
            <w:r w:rsidRPr="00DD7FAB">
              <w:rPr>
                <w:rFonts w:ascii="Times New Roman" w:hAnsi="Times New Roman" w:cs="Times New Roman"/>
                <w:sz w:val="24"/>
                <w:szCs w:val="24"/>
              </w:rPr>
              <w:t>тютюнопаління</w:t>
            </w:r>
            <w:proofErr w:type="spellEnd"/>
            <w:r w:rsidRPr="00DD7FAB">
              <w:rPr>
                <w:rFonts w:ascii="Times New Roman" w:hAnsi="Times New Roman" w:cs="Times New Roman"/>
                <w:sz w:val="24"/>
                <w:szCs w:val="24"/>
              </w:rPr>
              <w:t xml:space="preserve">,  ліквідацію   психологічних  перевантажень.   Показане призначення   дієти   збагаченої </w:t>
            </w:r>
            <w:proofErr w:type="spellStart"/>
            <w:r w:rsidRPr="00DD7FAB">
              <w:rPr>
                <w:rFonts w:ascii="Times New Roman" w:hAnsi="Times New Roman" w:cs="Times New Roman"/>
                <w:sz w:val="24"/>
                <w:szCs w:val="24"/>
              </w:rPr>
              <w:t>поліненасиченими</w:t>
            </w:r>
            <w:proofErr w:type="spellEnd"/>
            <w:r w:rsidRPr="00DD7FAB">
              <w:rPr>
                <w:rFonts w:ascii="Times New Roman" w:hAnsi="Times New Roman" w:cs="Times New Roman"/>
                <w:sz w:val="24"/>
                <w:szCs w:val="24"/>
              </w:rPr>
              <w:t xml:space="preserve">   жирними   кислотами  та      </w:t>
            </w:r>
            <w:proofErr w:type="spellStart"/>
            <w:r w:rsidRPr="00DD7FAB">
              <w:rPr>
                <w:rFonts w:ascii="Times New Roman" w:hAnsi="Times New Roman" w:cs="Times New Roman"/>
                <w:sz w:val="24"/>
                <w:szCs w:val="24"/>
              </w:rPr>
              <w:t>клонідіну</w:t>
            </w:r>
            <w:proofErr w:type="spellEnd"/>
            <w:r w:rsidRPr="00DD7FAB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DD7FAB">
              <w:rPr>
                <w:rFonts w:ascii="Times New Roman" w:hAnsi="Times New Roman" w:cs="Times New Roman"/>
                <w:sz w:val="24"/>
                <w:szCs w:val="24"/>
              </w:rPr>
              <w:t>релмінідину</w:t>
            </w:r>
            <w:proofErr w:type="spellEnd"/>
            <w:r w:rsidRPr="00DD7F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D7FAB">
              <w:rPr>
                <w:rFonts w:ascii="Times New Roman" w:hAnsi="Times New Roman" w:cs="Times New Roman"/>
                <w:sz w:val="24"/>
                <w:szCs w:val="24"/>
              </w:rPr>
              <w:t>моксонідину</w:t>
            </w:r>
            <w:proofErr w:type="spellEnd"/>
            <w:r w:rsidRPr="00DD7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</w:tcPr>
          <w:p w:rsidR="004654F2" w:rsidRPr="00B645C1" w:rsidRDefault="004654F2" w:rsidP="00BA1D5F"/>
        </w:tc>
        <w:tc>
          <w:tcPr>
            <w:tcW w:w="1417" w:type="dxa"/>
          </w:tcPr>
          <w:p w:rsidR="004654F2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нефролог</w:t>
            </w: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Сич В.І.</w:t>
            </w: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DD7FAB" w:rsidRPr="00DD7FAB" w:rsidRDefault="00DD7FAB" w:rsidP="00DD7F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FA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Хороший:</w:t>
            </w:r>
            <w:r w:rsidRPr="00DD7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зменшення   ступеню   ХНН   (перехід   на  ступінь   нижче);</w:t>
            </w:r>
          </w:p>
          <w:p w:rsidR="00DD7FAB" w:rsidRPr="00DD7FAB" w:rsidRDefault="00DD7FAB" w:rsidP="00DD7FA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Задовільний:   покращення   лабораторних   показників   в   межах   одного   ступеню   ХНН;</w:t>
            </w:r>
          </w:p>
          <w:p w:rsidR="004654F2" w:rsidRPr="00DD7FAB" w:rsidRDefault="00DD7FAB" w:rsidP="00DD7FAB">
            <w:pPr>
              <w:rPr>
                <w:b/>
                <w:caps/>
                <w:lang w:eastAsia="ru-RU"/>
              </w:rPr>
            </w:pPr>
            <w:r w:rsidRPr="00DD7FA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ЗАКЛЮЧЕННЯ:</w:t>
            </w:r>
            <w:r w:rsidRPr="00DD7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Таким   чином,   прогресування   хронічних   захворювань   нирок   залежить   від    дії  і   присутності   багатьох   факторів.   Дані   аналізу   свідчать,  що   рання   та   регулярна   </w:t>
            </w:r>
            <w:proofErr w:type="spellStart"/>
            <w:r w:rsidRPr="00DD7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нефрологічна</w:t>
            </w:r>
            <w:proofErr w:type="spellEnd"/>
            <w:r w:rsidRPr="00DD7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спеціалізована  допомога,   особливо  у      хворих   з   ХНН     корелює   зі   зменшенням      смертності,   зменшенням   короткострокової   смертності,   довгостроковим   виживанням   хворих   в  тому   числі  при   програмній   </w:t>
            </w:r>
            <w:proofErr w:type="spellStart"/>
            <w:r w:rsidRPr="00DD7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діалізній</w:t>
            </w:r>
            <w:proofErr w:type="spellEnd"/>
            <w:r w:rsidRPr="00DD7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терапії,   зменшенні   ускладнень   хронічної  ниркової   недостатності   та   </w:t>
            </w:r>
            <w:proofErr w:type="spellStart"/>
            <w:r w:rsidRPr="00DD7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діалізної</w:t>
            </w:r>
            <w:proofErr w:type="spellEnd"/>
            <w:r w:rsidRPr="00DD7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терапії. </w:t>
            </w:r>
          </w:p>
        </w:tc>
      </w:tr>
      <w:tr w:rsidR="004654F2" w:rsidRPr="00C6610E" w:rsidTr="00BA1D5F">
        <w:tc>
          <w:tcPr>
            <w:tcW w:w="1668" w:type="dxa"/>
          </w:tcPr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4654F2" w:rsidRPr="00DD7FAB" w:rsidRDefault="00DD7FAB" w:rsidP="00DD7FAB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Тютюнопаління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  фактором   ризику   прогресування   хронічних   захворювань   нирок.</w:t>
            </w:r>
            <w:r w:rsidRPr="00DD7FA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 літературі   показано,   що курці з цукровим   діабетом 1 або 2 типів мають   більш  високий  ризик розвитку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мікроальбумінурії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більш швидкого   прогресування її   рівня   до   важкої   протеїнурії   та   прискорених темпів   прогресування  діабетичної   нефропатії  до    термінального  ступеня   ХНН  в   порівнянні  з   хворими   на   діабет,   які не  палять.  Несприятливі ефекти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тютюнопаління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прогресування  хронічних  захворювань  нирок  показані   також   у   хворих   на   </w:t>
            </w:r>
            <w:proofErr w:type="spellStart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недіабетогенні</w:t>
            </w:r>
            <w:proofErr w:type="spellEnd"/>
            <w:r w:rsidRPr="00D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захворювання  нирок . Таким   чином    куріння вважається ймовірним  значущим  фактором  ризику    прогресування   захворювань   нирок,   як  у   хворих   на   цукровий  діабет   так    і   без   нього.  Отже   припинення  куріння -   є  однією   із   основних     рекомендацій   лікаря.  </w:t>
            </w:r>
          </w:p>
        </w:tc>
        <w:tc>
          <w:tcPr>
            <w:tcW w:w="1649" w:type="dxa"/>
          </w:tcPr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4654F2" w:rsidRPr="00C6610E" w:rsidTr="00BA1D5F">
        <w:tc>
          <w:tcPr>
            <w:tcW w:w="1668" w:type="dxa"/>
          </w:tcPr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0E36BB" w:rsidRPr="000E36BB" w:rsidRDefault="000E36BB" w:rsidP="000E3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Хворі   з   ХНН   підлягають   диспансерному   спостереженню   у   лікаря–нефролога,   а   у   випадку   його   відсутності -   у   лікаря-терапевта   за   місцем   проживання.</w:t>
            </w:r>
          </w:p>
          <w:p w:rsidR="004654F2" w:rsidRPr="000E36BB" w:rsidRDefault="000E36BB" w:rsidP="000E36BB">
            <w:pPr>
              <w:rPr>
                <w:lang w:eastAsia="ru-RU"/>
              </w:rPr>
            </w:pPr>
            <w:r w:rsidRPr="000E3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Диспансерне   спостереження   повинно   включати:   обстеження   хворих  з ХНН –</w:t>
            </w:r>
            <w:r w:rsidRPr="000E36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E3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ступеня 3  рази  на рік , з ХНН </w:t>
            </w:r>
            <w:r w:rsidRPr="000E36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Pr="000E3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ступеня - 6 </w:t>
            </w:r>
            <w:proofErr w:type="spellStart"/>
            <w:r w:rsidRPr="000E3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разівна</w:t>
            </w:r>
            <w:proofErr w:type="spellEnd"/>
            <w:r w:rsidRPr="000E3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рік, а з ХНН </w:t>
            </w:r>
            <w:r w:rsidRPr="000E36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E3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ступеня – щомісячно,  призначення   адекватного   режиму,   працевлаштування  та   вибору   раціональних   дієтичних   та   лікувальних  заходів;    встановлення   та   усунення   факторів,  що   сприяють   прогресуванню   ХНН.   При   виникненні   </w:t>
            </w:r>
            <w:proofErr w:type="spellStart"/>
            <w:r w:rsidRPr="000E3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інтеркурентних</w:t>
            </w:r>
            <w:proofErr w:type="spellEnd"/>
            <w:r w:rsidRPr="000E3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захворювань   хворі   обстежуються додатково.   Хворим  з   ХНН-</w:t>
            </w:r>
            <w:r w:rsidRPr="000E36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E3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ступеня   повинно   проводитися   лікування гемодіалізом/  перитонеальним   діалізом,   або   симптоматична   терапія  (за   наявності   протипоказань   для   НЗТ)  за  місцем  проживання.</w:t>
            </w:r>
          </w:p>
        </w:tc>
        <w:tc>
          <w:tcPr>
            <w:tcW w:w="1649" w:type="dxa"/>
          </w:tcPr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4F2" w:rsidRPr="00C6610E" w:rsidRDefault="004654F2" w:rsidP="00BA1D5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654F2" w:rsidRPr="00C6610E" w:rsidRDefault="004654F2" w:rsidP="00BA1D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 w:rsidSect="000011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A01"/>
    <w:multiLevelType w:val="hybridMultilevel"/>
    <w:tmpl w:val="97565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A1BE6"/>
    <w:multiLevelType w:val="singleLevel"/>
    <w:tmpl w:val="00423A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EDD6B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74F69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1B433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70612D8"/>
    <w:multiLevelType w:val="singleLevel"/>
    <w:tmpl w:val="491895F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F2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36BB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654F2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D7FAB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63684"/>
    <w:rsid w:val="00F824DA"/>
    <w:rsid w:val="00F8533F"/>
    <w:rsid w:val="00FA58F1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4F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54F2"/>
    <w:rPr>
      <w:color w:val="0000FF"/>
      <w:u w:val="single"/>
    </w:rPr>
  </w:style>
  <w:style w:type="paragraph" w:styleId="2">
    <w:name w:val="Body Text 2"/>
    <w:basedOn w:val="a"/>
    <w:link w:val="20"/>
    <w:rsid w:val="00DD7FAB"/>
    <w:pPr>
      <w:spacing w:after="0" w:line="240" w:lineRule="auto"/>
      <w:ind w:right="-35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D7FA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D7FA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D7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4F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54F2"/>
    <w:rPr>
      <w:color w:val="0000FF"/>
      <w:u w:val="single"/>
    </w:rPr>
  </w:style>
  <w:style w:type="paragraph" w:styleId="2">
    <w:name w:val="Body Text 2"/>
    <w:basedOn w:val="a"/>
    <w:link w:val="20"/>
    <w:rsid w:val="00DD7FAB"/>
    <w:pPr>
      <w:spacing w:after="0" w:line="240" w:lineRule="auto"/>
      <w:ind w:right="-35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D7FA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D7FA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D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prava.com.ua/mcfr/medsprava/2004_593_nakaz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14367</Words>
  <Characters>8190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2015-02-24T08:18:00Z</dcterms:created>
  <dcterms:modified xsi:type="dcterms:W3CDTF">2015-02-27T12:30:00Z</dcterms:modified>
</cp:coreProperties>
</file>