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5C55B4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5C55B4" w:rsidRPr="002533EA" w:rsidRDefault="005C55B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5C55B4" w:rsidRPr="002533EA" w:rsidRDefault="005C55B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5C55B4" w:rsidRPr="002533EA" w:rsidRDefault="005C55B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5C55B4" w:rsidRPr="002533EA" w:rsidRDefault="005C55B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5C55B4" w:rsidRPr="002533EA" w:rsidRDefault="005C55B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>
      <w:pPr>
        <w:rPr>
          <w:b/>
        </w:rPr>
      </w:pPr>
    </w:p>
    <w:p w:rsidR="005C55B4" w:rsidRPr="002533EA" w:rsidRDefault="005C55B4" w:rsidP="005C55B4">
      <w:pPr>
        <w:rPr>
          <w:b/>
        </w:rPr>
      </w:pPr>
    </w:p>
    <w:p w:rsidR="005C55B4" w:rsidRPr="002533EA" w:rsidRDefault="005C55B4" w:rsidP="005C55B4">
      <w:pPr>
        <w:rPr>
          <w:b/>
        </w:rPr>
      </w:pPr>
    </w:p>
    <w:p w:rsidR="005C55B4" w:rsidRPr="002533EA" w:rsidRDefault="005C55B4" w:rsidP="005C5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5C55B4" w:rsidRPr="002533EA" w:rsidRDefault="005C55B4" w:rsidP="005C55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5B4" w:rsidRPr="002533EA" w:rsidRDefault="005C55B4" w:rsidP="005C55B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55B4" w:rsidRPr="002533EA" w:rsidRDefault="005C55B4" w:rsidP="005C5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5C55B4" w:rsidRPr="002533EA" w:rsidRDefault="005C55B4" w:rsidP="005C55B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Pr="005C55B4">
        <w:rPr>
          <w:rFonts w:ascii="Times New Roman" w:hAnsi="Times New Roman" w:cs="Times New Roman"/>
          <w:i/>
          <w:sz w:val="24"/>
          <w:szCs w:val="24"/>
        </w:rPr>
        <w:t>злоякісним зовнішнім отитом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/>
    <w:p w:rsidR="005C55B4" w:rsidRPr="002533EA" w:rsidRDefault="005C55B4" w:rsidP="005C55B4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5C55B4" w:rsidRPr="002533EA" w:rsidRDefault="005C55B4" w:rsidP="005C55B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>
        <w:rPr>
          <w:rFonts w:ascii="Times New Roman" w:hAnsi="Times New Roman" w:cs="Times New Roman"/>
          <w:i/>
          <w:sz w:val="24"/>
          <w:szCs w:val="24"/>
        </w:rPr>
        <w:t xml:space="preserve">з </w:t>
      </w:r>
      <w:r w:rsidRPr="005C55B4">
        <w:rPr>
          <w:rFonts w:ascii="Times New Roman" w:hAnsi="Times New Roman" w:cs="Times New Roman"/>
          <w:i/>
          <w:sz w:val="24"/>
          <w:szCs w:val="24"/>
        </w:rPr>
        <w:t>злоякісним зовнішнім отитом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5C55B4" w:rsidRPr="005C55B4" w:rsidRDefault="005C55B4" w:rsidP="005C55B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C55B4">
        <w:rPr>
          <w:rFonts w:ascii="Times New Roman" w:hAnsi="Times New Roman" w:cs="Times New Roman"/>
          <w:sz w:val="24"/>
          <w:szCs w:val="24"/>
        </w:rPr>
        <w:t xml:space="preserve">Н 60.2  </w:t>
      </w:r>
    </w:p>
    <w:p w:rsidR="005C55B4" w:rsidRPr="002533EA" w:rsidRDefault="005C55B4" w:rsidP="005C55B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5C55B4" w:rsidRPr="002533EA" w:rsidRDefault="005C55B4" w:rsidP="005C55B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5C55B4" w:rsidRPr="002533EA" w:rsidRDefault="005C55B4" w:rsidP="005C55B4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5C55B4" w:rsidRPr="002533EA" w:rsidRDefault="005C55B4" w:rsidP="005C55B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5C55B4" w:rsidRPr="002533EA" w:rsidTr="00E405AB">
        <w:tc>
          <w:tcPr>
            <w:tcW w:w="4851" w:type="dxa"/>
          </w:tcPr>
          <w:p w:rsidR="005C55B4" w:rsidRPr="002533EA" w:rsidRDefault="005C55B4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5C55B4" w:rsidRPr="002533EA" w:rsidRDefault="005C55B4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5C55B4" w:rsidRPr="002533EA" w:rsidTr="00E405AB">
        <w:tc>
          <w:tcPr>
            <w:tcW w:w="4851" w:type="dxa"/>
          </w:tcPr>
          <w:p w:rsidR="005C55B4" w:rsidRPr="002533EA" w:rsidRDefault="005C55B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5C55B4" w:rsidRPr="002533EA" w:rsidRDefault="005C55B4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5C55B4" w:rsidRPr="002533EA" w:rsidRDefault="005C55B4" w:rsidP="005C55B4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5C55B4" w:rsidRPr="002533EA" w:rsidRDefault="005C55B4" w:rsidP="005C55B4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B4" w:rsidRPr="002533EA" w:rsidRDefault="005C55B4" w:rsidP="005C55B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5C55B4" w:rsidRPr="002533EA" w:rsidRDefault="005C55B4" w:rsidP="005C55B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5C55B4" w:rsidRPr="002533EA" w:rsidRDefault="005C55B4" w:rsidP="005C55B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5C55B4" w:rsidRPr="002533EA" w:rsidRDefault="005C55B4" w:rsidP="005C55B4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5B4" w:rsidRPr="002533EA" w:rsidRDefault="005C55B4" w:rsidP="005C55B4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5C55B4" w:rsidRPr="002533EA" w:rsidRDefault="005C55B4" w:rsidP="005C55B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5C55B4" w:rsidRPr="002533EA" w:rsidRDefault="005C55B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5C55B4" w:rsidRPr="002533EA" w:rsidRDefault="005C55B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5C55B4" w:rsidRPr="002533EA" w:rsidRDefault="005C55B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5C55B4" w:rsidRPr="002533EA" w:rsidRDefault="005C55B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03D" w:rsidRPr="003338B9" w:rsidRDefault="0090003D" w:rsidP="009000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90003D" w:rsidRPr="003338B9" w:rsidRDefault="0090003D" w:rsidP="009000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003D" w:rsidRPr="00EF60FB" w:rsidRDefault="0090003D" w:rsidP="009000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90003D" w:rsidRPr="00EF60FB" w:rsidRDefault="0090003D" w:rsidP="009000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90003D" w:rsidRPr="00EF60FB" w:rsidRDefault="0090003D" w:rsidP="0090003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5C55B4" w:rsidRPr="002533EA" w:rsidRDefault="005C55B4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C55B4" w:rsidRPr="002533EA" w:rsidRDefault="005C55B4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5C55B4" w:rsidRPr="005C55B4" w:rsidRDefault="005C55B4" w:rsidP="005C55B4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Характерний тривалий зовнішній отит, що не піддається звичайній консервативній терапії протягом 7-10 діб. Виражені больові відчуття, переважно в нічний час, підвищення температури тіла спостерігається рідко. </w:t>
            </w:r>
          </w:p>
          <w:p w:rsidR="005C55B4" w:rsidRPr="005C55B4" w:rsidRDefault="005C55B4" w:rsidP="005C55B4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Обов’язкові методи діагностики: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Отоскопічно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45 – 100 % хворих виявляється гнійні виділення з вуха з неприємним запахом. Проте, характерною особливістю є грануляційна тканина, в основному на нижній стінці зовнішнього слухового ходу, частіше на межі кісткової і хрящової частин.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акуметричному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аудіометричному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дослідженні виявляється незначна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приглухуватість, яка являється результатом обструкції слухового ходу, або, іноді, наслідком наявності ексудату в барабанній порожнині.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бактеріологічному дослідженні виділень з вуха у переважної більшості хворих виділяється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синьогнійна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паличка.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аналізах крові виявляються зміни запального характеру, підвищення рівня цукру, наявність цукру в аналізі сечі у хворих на цукровий діабет.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Гістологічні дослідження грануляцій, видалених з зовнішнього слухового ходу, дозволяють провести диференціальний діагноз з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неопластичними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захворюваннями (веретеноподібна карцинома,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гломусна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пухлина,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плосколітинний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рак,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C55B4" w:rsidRPr="005C55B4" w:rsidRDefault="005C55B4" w:rsidP="005C55B4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Рентгенологічні методи, а саме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ютерна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томографія (КТ) скроневих кісток досить об</w:t>
            </w: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єктивний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для оцінки як м</w:t>
            </w: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якотканинних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і особливо кісткових структур. Вона дозволяє визначити деструкцію кісткової тканини, яка звичайно розвивається в більш віддалений період. Також КТ дає змогу визначити поширення запального процесу в барабанну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антро-мастоідальну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частину середнього вуха, ділянку шило-соскоподібного отвору, де часто вражається лицевий нерв та на основу черепу, в ділянку яремного отвору, де можуть вражатися черепні нерви каудальної групи. Магнітно-резонансна томографія головного мозку (МРТ) допомагає встановити більш детальне розповсюдження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м’якотканинних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патологічних елементів при поширенні процесу в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білявушну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ділянку, підвискову ямку, </w:t>
            </w:r>
            <w:proofErr w:type="spellStart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біляглотковий</w:t>
            </w:r>
            <w:proofErr w:type="spellEnd"/>
            <w:r w:rsidRPr="005C5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простір, на основу черепу та в його порожнину.</w:t>
            </w:r>
            <w:r w:rsidRPr="005C55B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649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Масивна антибактеріальна терапія з використанням активних антибактеріальних засобів, направлена дія яких спрямована проти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синьогнійної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палички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внутрішньом’язево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внутрішьоновенно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протязі 3 місяців.</w:t>
            </w:r>
          </w:p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Хірургічне лікування:</w:t>
            </w:r>
          </w:p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Видалення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некротизованих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грануляційних тканин, секвестрів кістки, хряща.</w:t>
            </w:r>
          </w:p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Мастоїдектомія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(розширена), можлива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тимпанопластика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наступному за наявності показань.</w:t>
            </w:r>
          </w:p>
          <w:p w:rsidR="00A850FB" w:rsidRPr="00A850FB" w:rsidRDefault="00A850FB" w:rsidP="00A850FB">
            <w:pPr>
              <w:keepNext/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ЛІКУВАННЯ ФАКУЛЬТАТИВНЕ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Десенсибілізуючі,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дезинтоксикаційні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знеболюючі засоби, симптоматична терапія.</w:t>
            </w:r>
          </w:p>
          <w:p w:rsidR="00A850FB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Гіпербарична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оксигенація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що потенціює ефект антибактеріальної терапії, стимулює судинну проліферацію.</w:t>
            </w:r>
          </w:p>
          <w:p w:rsidR="005C55B4" w:rsidRPr="00A850FB" w:rsidRDefault="00A850FB" w:rsidP="00A850FB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одужанні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реабілітації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потребує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диспансерному </w:t>
            </w:r>
            <w:proofErr w:type="spell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нагляду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proofErr w:type="gramStart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gram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ідлягає</w:t>
            </w:r>
            <w:proofErr w:type="spellEnd"/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49" w:type="dxa"/>
          </w:tcPr>
          <w:p w:rsidR="005C55B4" w:rsidRPr="002533EA" w:rsidRDefault="005C55B4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5C55B4" w:rsidRPr="00A850FB" w:rsidRDefault="00A850FB" w:rsidP="00A8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скарг, нормалізація отоскопічної картини, показників крові.</w:t>
            </w:r>
          </w:p>
        </w:tc>
      </w:tr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A850FB" w:rsidRPr="00A850FB" w:rsidRDefault="00A850FB" w:rsidP="00A8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після проведеної операції можуть бути непрацездатні протягом до3-х місяців. </w:t>
            </w:r>
          </w:p>
          <w:p w:rsidR="005C55B4" w:rsidRPr="00A850FB" w:rsidRDefault="00A850FB" w:rsidP="00A8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Хворі повинні дотримуватися дієти за основним захворюванням (діабет), протипоказано вживання алкоголю та тютюнокуріння.</w:t>
            </w:r>
          </w:p>
        </w:tc>
        <w:tc>
          <w:tcPr>
            <w:tcW w:w="1649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5C55B4" w:rsidRPr="002533EA" w:rsidTr="00E405AB">
        <w:tc>
          <w:tcPr>
            <w:tcW w:w="1668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5C55B4" w:rsidRPr="00A850FB" w:rsidRDefault="00A850FB" w:rsidP="00A850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наявності внутрішньочерепних ускладнень до лікувального процесу залучаються відповідні фахівці – нейрохірурги, невропатологи і т.д. Термін лікування від 3 тижнів до 3 місяців.</w:t>
            </w:r>
          </w:p>
        </w:tc>
        <w:tc>
          <w:tcPr>
            <w:tcW w:w="1649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55B4" w:rsidRPr="002533EA" w:rsidRDefault="005C55B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C55B4" w:rsidRPr="002533EA" w:rsidRDefault="005C55B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802E1"/>
    <w:multiLevelType w:val="hybridMultilevel"/>
    <w:tmpl w:val="D2A6D5D2"/>
    <w:lvl w:ilvl="0" w:tplc="77849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07800"/>
    <w:multiLevelType w:val="hybridMultilevel"/>
    <w:tmpl w:val="BB4A9622"/>
    <w:lvl w:ilvl="0" w:tplc="0C9292A2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F424E5D"/>
    <w:multiLevelType w:val="hybridMultilevel"/>
    <w:tmpl w:val="C9F8C314"/>
    <w:lvl w:ilvl="0" w:tplc="51EA0B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B4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55B4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003D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850FB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C55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C55B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3682</Words>
  <Characters>2099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2015-02-18T15:33:00Z</dcterms:created>
  <dcterms:modified xsi:type="dcterms:W3CDTF">2015-02-27T12:37:00Z</dcterms:modified>
</cp:coreProperties>
</file>