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0D5A0E" w:rsidRPr="00C6610E" w:rsidTr="00F012D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0D5A0E" w:rsidRPr="00C6610E" w:rsidRDefault="000D5A0E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0D5A0E" w:rsidRPr="00C6610E" w:rsidRDefault="000D5A0E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0D5A0E" w:rsidRPr="00C6610E" w:rsidRDefault="000D5A0E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0D5A0E" w:rsidRPr="00C6610E" w:rsidRDefault="000D5A0E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0D5A0E" w:rsidRPr="00C6610E" w:rsidRDefault="000D5A0E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>
      <w:pPr>
        <w:rPr>
          <w:b/>
        </w:rPr>
      </w:pPr>
    </w:p>
    <w:p w:rsidR="000D5A0E" w:rsidRPr="00C6610E" w:rsidRDefault="000D5A0E" w:rsidP="000D5A0E">
      <w:pPr>
        <w:rPr>
          <w:b/>
        </w:rPr>
      </w:pPr>
    </w:p>
    <w:p w:rsidR="000D5A0E" w:rsidRPr="00C6610E" w:rsidRDefault="000D5A0E" w:rsidP="000D5A0E">
      <w:pPr>
        <w:rPr>
          <w:b/>
        </w:rPr>
      </w:pPr>
    </w:p>
    <w:p w:rsidR="000D5A0E" w:rsidRPr="00C6610E" w:rsidRDefault="000D5A0E" w:rsidP="000D5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6610E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0D5A0E" w:rsidRPr="00C6610E" w:rsidRDefault="000D5A0E" w:rsidP="000D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Рівні надання медичної допомоги: Перший рівень – сімейний лікар, другий рівень – офтальмолог поліклініки</w:t>
      </w:r>
    </w:p>
    <w:p w:rsidR="000D5A0E" w:rsidRPr="00C6610E" w:rsidRDefault="000D5A0E" w:rsidP="000D5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0E" w:rsidRPr="00C6610E" w:rsidRDefault="000D5A0E" w:rsidP="000D5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0D5A0E" w:rsidRPr="00C6610E" w:rsidRDefault="000D5A0E" w:rsidP="000D5A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з </w:t>
      </w:r>
      <w:r>
        <w:rPr>
          <w:rFonts w:ascii="Times New Roman" w:hAnsi="Times New Roman" w:cs="Times New Roman"/>
          <w:i/>
          <w:sz w:val="24"/>
          <w:szCs w:val="24"/>
        </w:rPr>
        <w:t>підозрою на глаукому</w:t>
      </w:r>
      <w:r w:rsidRPr="00C6610E">
        <w:rPr>
          <w:rFonts w:ascii="Times New Roman" w:hAnsi="Times New Roman" w:cs="Times New Roman"/>
          <w:i/>
          <w:sz w:val="24"/>
          <w:szCs w:val="24"/>
        </w:rPr>
        <w:t>.</w:t>
      </w:r>
    </w:p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>
      <w:pPr>
        <w:rPr>
          <w:lang w:val="ru-RU"/>
        </w:rPr>
      </w:pPr>
    </w:p>
    <w:p w:rsidR="000D5A0E" w:rsidRPr="00C6610E" w:rsidRDefault="000D5A0E" w:rsidP="000D5A0E">
      <w:pPr>
        <w:rPr>
          <w:lang w:val="ru-RU"/>
        </w:rPr>
      </w:pPr>
    </w:p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0D5A0E" w:rsidRPr="00C6610E" w:rsidRDefault="000D5A0E" w:rsidP="000D5A0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>з підозрою на глаукому .</w:t>
      </w:r>
    </w:p>
    <w:p w:rsidR="000D5A0E" w:rsidRPr="00C6610E" w:rsidRDefault="000D5A0E" w:rsidP="000D5A0E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</w:rPr>
        <w:t xml:space="preserve"> Шифр </w:t>
      </w:r>
      <w:r w:rsidRPr="00C6610E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 40.0</w:t>
      </w:r>
    </w:p>
    <w:p w:rsidR="000D5A0E" w:rsidRPr="00C6610E" w:rsidRDefault="000D5A0E" w:rsidP="000D5A0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0D5A0E" w:rsidRPr="00C6610E" w:rsidRDefault="000D5A0E" w:rsidP="000D5A0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0D5A0E" w:rsidRPr="00C6610E" w:rsidRDefault="000D5A0E" w:rsidP="000D5A0E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0D5A0E" w:rsidRPr="00C6610E" w:rsidRDefault="000D5A0E" w:rsidP="000D5A0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0D5A0E" w:rsidRPr="00C6610E" w:rsidTr="00F012DD">
        <w:tc>
          <w:tcPr>
            <w:tcW w:w="4851" w:type="dxa"/>
          </w:tcPr>
          <w:p w:rsidR="000D5A0E" w:rsidRPr="00C6610E" w:rsidRDefault="000D5A0E" w:rsidP="00F0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0D5A0E" w:rsidRPr="00C6610E" w:rsidRDefault="000D5A0E" w:rsidP="00F0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0D5A0E" w:rsidRPr="00C6610E" w:rsidTr="00F012DD">
        <w:tc>
          <w:tcPr>
            <w:tcW w:w="4851" w:type="dxa"/>
          </w:tcPr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Тишко Олександра Віталіївна</w:t>
            </w:r>
          </w:p>
        </w:tc>
        <w:tc>
          <w:tcPr>
            <w:tcW w:w="4644" w:type="dxa"/>
          </w:tcPr>
          <w:p w:rsidR="000D5A0E" w:rsidRPr="00C6610E" w:rsidRDefault="000D5A0E" w:rsidP="00F0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Лікар-офтальмолог</w:t>
            </w:r>
          </w:p>
        </w:tc>
      </w:tr>
    </w:tbl>
    <w:p w:rsidR="000D5A0E" w:rsidRPr="00C6610E" w:rsidRDefault="000D5A0E" w:rsidP="000D5A0E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0D5A0E" w:rsidRPr="00C6610E" w:rsidRDefault="000D5A0E" w:rsidP="000D5A0E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BD7" w:rsidRPr="002D3289" w:rsidRDefault="00A92BD7" w:rsidP="00A92BD7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289">
        <w:rPr>
          <w:rFonts w:ascii="Times New Roman" w:hAnsi="Times New Roman" w:cs="Times New Roman"/>
          <w:b/>
          <w:sz w:val="24"/>
          <w:szCs w:val="24"/>
        </w:rPr>
        <w:t>Наказ від 15.03.2007 № 117 Про затвердження протоколів надання меди</w:t>
      </w:r>
      <w:r>
        <w:rPr>
          <w:rFonts w:ascii="Times New Roman" w:hAnsi="Times New Roman" w:cs="Times New Roman"/>
          <w:b/>
          <w:sz w:val="24"/>
          <w:szCs w:val="24"/>
        </w:rPr>
        <w:t>чної допомоги за спеціальністю «Офтальмологія»</w:t>
      </w:r>
      <w:r w:rsidRPr="002D3289">
        <w:rPr>
          <w:rFonts w:ascii="Times New Roman" w:hAnsi="Times New Roman" w:cs="Times New Roman"/>
          <w:b/>
          <w:sz w:val="24"/>
          <w:szCs w:val="24"/>
        </w:rPr>
        <w:t>;</w:t>
      </w:r>
    </w:p>
    <w:p w:rsidR="000D5A0E" w:rsidRPr="00C6610E" w:rsidRDefault="000D5A0E" w:rsidP="000D5A0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0D5A0E" w:rsidRPr="00C6610E" w:rsidRDefault="000D5A0E" w:rsidP="000D5A0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0D5A0E" w:rsidRPr="00C6610E" w:rsidRDefault="000D5A0E" w:rsidP="000D5A0E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A0E" w:rsidRPr="00C6610E" w:rsidRDefault="000D5A0E" w:rsidP="000D5A0E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0D5A0E" w:rsidRPr="00C6610E" w:rsidRDefault="000D5A0E" w:rsidP="000D5A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0D5A0E" w:rsidRPr="00C6610E" w:rsidTr="00F012DD">
        <w:tc>
          <w:tcPr>
            <w:tcW w:w="1668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0D5A0E" w:rsidRPr="00C6610E" w:rsidRDefault="000D5A0E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0D5A0E" w:rsidRPr="00C6610E" w:rsidRDefault="000D5A0E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0D5A0E" w:rsidRPr="00C6610E" w:rsidRDefault="000D5A0E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0D5A0E" w:rsidRPr="00C6610E" w:rsidRDefault="000D5A0E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0D5A0E" w:rsidRPr="00C6610E" w:rsidTr="00F012DD">
        <w:tc>
          <w:tcPr>
            <w:tcW w:w="1668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9D2B6B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r w:rsidRPr="009D2B6B">
              <w:rPr>
                <w:rFonts w:ascii="Times New Roman" w:hAnsi="Times New Roman" w:cs="Times New Roman"/>
                <w:sz w:val="24"/>
                <w:szCs w:val="24"/>
              </w:rPr>
              <w:t>допомоги лікарем-</w:t>
            </w:r>
            <w:r w:rsidR="009D2B6B" w:rsidRPr="009D2B6B">
              <w:rPr>
                <w:rFonts w:ascii="Times New Roman" w:hAnsi="Times New Roman" w:cs="Times New Roman"/>
                <w:sz w:val="24"/>
                <w:szCs w:val="24"/>
              </w:rPr>
              <w:t>офтальмологом</w:t>
            </w:r>
            <w:r w:rsidRPr="009D2B6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лікаря-</w:t>
            </w:r>
            <w:r w:rsidR="009D2B6B" w:rsidRPr="009D2B6B">
              <w:rPr>
                <w:rFonts w:ascii="Times New Roman" w:hAnsi="Times New Roman" w:cs="Times New Roman"/>
                <w:sz w:val="24"/>
                <w:szCs w:val="24"/>
              </w:rPr>
              <w:t>офтальмолога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bookmarkStart w:id="0" w:name="_GoBack"/>
            <w:bookmarkEnd w:id="0"/>
            <w:r w:rsidR="009D2B6B" w:rsidRPr="009D2B6B">
              <w:rPr>
                <w:rFonts w:ascii="Times New Roman" w:hAnsi="Times New Roman" w:cs="Times New Roman"/>
                <w:sz w:val="24"/>
                <w:szCs w:val="24"/>
              </w:rPr>
              <w:t>офтальмолога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0D5A0E" w:rsidRPr="00C6610E" w:rsidRDefault="000D5A0E" w:rsidP="00F012DD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D5A0E" w:rsidRPr="00C6610E" w:rsidRDefault="000D5A0E" w:rsidP="00F012DD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документів, якщо надана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послуга за спец рахунком.</w:t>
            </w:r>
          </w:p>
        </w:tc>
        <w:tc>
          <w:tcPr>
            <w:tcW w:w="1649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0D5A0E" w:rsidRPr="00C6610E" w:rsidTr="00F012DD">
        <w:tc>
          <w:tcPr>
            <w:tcW w:w="1668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Обстеження: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Збір скарг та анамнезу (звернути увагу на генетичний, травматичний анамнез, запальні процеси та судинні катастрофи в оці, прийом препаратів, що можуть підвищувати ВОТ, наявність супутньої патології)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Візометрія</w:t>
            </w:r>
            <w:proofErr w:type="spellEnd"/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Рефрактометрія</w:t>
            </w:r>
            <w:proofErr w:type="spellEnd"/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Біомікроскопія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необхідності - ультразвукова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біомікроскопія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Офтальмоскопія (при необхідності - оптико-когерентна томографія, аналізатори шару нервових волокон - НКТ, ОСТ)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Тонометрія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(добова)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Навантажувально-розвантажувальні проби.</w:t>
            </w:r>
          </w:p>
          <w:p w:rsidR="000D5A0E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Периметрія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кампіметрія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комп'ютерна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периметрія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НитрЬгеу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порогова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стратегія, програма 30-2, або 24-2,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периметрія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подвійної частоти - РОТ)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Топографія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10.Гоніоскопія (при необхідності - компресійна проба Форбса)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.Кератопахіметрія</w:t>
            </w:r>
            <w:proofErr w:type="spellEnd"/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Ультразвукова біометрія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Обов'язкові лабораторні та додаткові дослідження: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Загальний аналіз крові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Загальний аналіз сечі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КровнаКЛУ</w:t>
            </w:r>
            <w:proofErr w:type="spellEnd"/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Цукор крові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Рівень АТ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Консультації спеціалістів за показаннями: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Терапевта</w:t>
            </w:r>
          </w:p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Невропатолога</w:t>
            </w:r>
          </w:p>
          <w:p w:rsidR="000D5A0E" w:rsidRPr="00C6610E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Ендокринолога</w:t>
            </w:r>
          </w:p>
        </w:tc>
        <w:tc>
          <w:tcPr>
            <w:tcW w:w="1649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0D5A0E" w:rsidRPr="00C6610E" w:rsidTr="00F012DD">
        <w:tc>
          <w:tcPr>
            <w:tcW w:w="1668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0D5A0E" w:rsidRPr="00C6610E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 госпіталізації - встановлення діагнозу глаукоми. При виявленні у пацієнта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офтальмогіпертензії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аналізуються наявні у нього фактори ризику розвитку глаукоми. Якщо ризик </w:t>
            </w: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розвитку глаукоми низький, пацієнт не потребує гіпотензивної терапії. Проводиться його регулярне (1 раз в рік) диспансерне спостереження. Якщо встановлюється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офтальмогіпертензія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високим ризиком розвитку глаукоми, проводиться визначення оптимального (цільового) рівня ВОТ, який забезпечить збереження зорового нерва та зорових функцій. Рекомендований рівень ВОТ - на 20% нижче від рівня при контрольному обстеженні. Медикаментозна терапія спрямовується на досягнення гіпотензивного (цільового ВОТ) та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нейропротекторного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(корекція трофічних та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циркуляторних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порушень) ефекту. Як препарати першої лінії гіпотензивної терапії застосовуються аналоги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простагландинів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латанапрост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травапрост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 бета-блокатори  (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тимолола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малеат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бетаксалол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картеолол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метіпранол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левобунолол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Первинний контроль відбувається через тиждень. При досягненні цільового ВОТ та стабілізації, або покращення зорових функцій (поле зору) в подальшому щоквартально (а при тривалій стабілізації - 1 раз в півроку) контролюється гострота та поле зору, ВОТ, стан ДЗН, показники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тонографії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якість життя пацієнта. При відсутності ефекту контролюють виконання пацієнтом рекомендацій лікаря та використовують комбінації препаратів різних груп: аналоги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простагландинів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бета-блокатори,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міотики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(пілокарпін), інгібітори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карбоангідрази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місцевої дії (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бринзоламід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дорзоламід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та системної дії (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ацетазоламід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метазоламід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або фіксовані комбіновані форми препаратів (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ксалаком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фотіл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фотіл-форте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інші). Рекомендовано комбінувати препарати, що мають різний механізм дії. При недосягненні ефекту (погіршення поля зору, розвиток оптичної </w:t>
            </w:r>
            <w:proofErr w:type="spellStart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нейропатії</w:t>
            </w:r>
            <w:proofErr w:type="spellEnd"/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розвиток глаукоми), або при встановленні одного з видів глаукоми - лікування згідно алгоритмів.</w:t>
            </w:r>
          </w:p>
        </w:tc>
        <w:tc>
          <w:tcPr>
            <w:tcW w:w="1649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днів</w:t>
            </w:r>
            <w:r w:rsidRPr="00B8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Лікар-офтальмолог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0D5A0E" w:rsidRPr="00C6610E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Встановлення діагнозу, нормалізація ВОТ, вироблення гіпотензивного режиму, </w:t>
            </w: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стабілізація зорових функцій.</w:t>
            </w:r>
          </w:p>
        </w:tc>
      </w:tr>
      <w:tr w:rsidR="000D5A0E" w:rsidRPr="00C6610E" w:rsidTr="00F012DD">
        <w:tc>
          <w:tcPr>
            <w:tcW w:w="1668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0D5A0E" w:rsidRPr="00311F68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обмежень:</w:t>
            </w:r>
          </w:p>
          <w:p w:rsidR="000D5A0E" w:rsidRPr="00C6610E" w:rsidRDefault="000D5A0E" w:rsidP="00F012DD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1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консультації.</w:t>
            </w:r>
          </w:p>
        </w:tc>
        <w:tc>
          <w:tcPr>
            <w:tcW w:w="1649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0D5A0E" w:rsidRPr="00C6610E" w:rsidTr="00F012DD">
        <w:tc>
          <w:tcPr>
            <w:tcW w:w="1668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0D5A0E" w:rsidRPr="00C6610E" w:rsidRDefault="000D5A0E" w:rsidP="00F0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68">
              <w:rPr>
                <w:rFonts w:ascii="Times New Roman" w:hAnsi="Times New Roman" w:cs="Times New Roman"/>
                <w:sz w:val="24"/>
                <w:szCs w:val="24"/>
              </w:rPr>
              <w:t>Хворі працездатні. Диспансеризація.</w:t>
            </w:r>
          </w:p>
        </w:tc>
        <w:tc>
          <w:tcPr>
            <w:tcW w:w="1649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A0E" w:rsidRDefault="000D5A0E" w:rsidP="000D5A0E"/>
    <w:p w:rsidR="00CC4487" w:rsidRPr="005753BE" w:rsidRDefault="00CC4487">
      <w:pPr>
        <w:rPr>
          <w:lang w:val="en-US"/>
        </w:rPr>
      </w:pPr>
    </w:p>
    <w:sectPr w:rsidR="00CC4487" w:rsidRPr="005753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0E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9278B"/>
    <w:rsid w:val="000957B0"/>
    <w:rsid w:val="000972F5"/>
    <w:rsid w:val="000A0DA2"/>
    <w:rsid w:val="000A4BFA"/>
    <w:rsid w:val="000C0AD3"/>
    <w:rsid w:val="000D4465"/>
    <w:rsid w:val="000D5A0E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398F"/>
    <w:rsid w:val="00230B09"/>
    <w:rsid w:val="0023618B"/>
    <w:rsid w:val="002748D3"/>
    <w:rsid w:val="00276306"/>
    <w:rsid w:val="00276DAD"/>
    <w:rsid w:val="00294D2D"/>
    <w:rsid w:val="002B6665"/>
    <w:rsid w:val="002C3910"/>
    <w:rsid w:val="002C50B1"/>
    <w:rsid w:val="002C58C1"/>
    <w:rsid w:val="002D7EA3"/>
    <w:rsid w:val="002E58AB"/>
    <w:rsid w:val="002F50F8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53BE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65BF8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74BC"/>
    <w:rsid w:val="009434EB"/>
    <w:rsid w:val="009570B0"/>
    <w:rsid w:val="00971CCD"/>
    <w:rsid w:val="009B4C2C"/>
    <w:rsid w:val="009B4F5B"/>
    <w:rsid w:val="009C674B"/>
    <w:rsid w:val="009D2B6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92BD7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3636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2015-01-28T09:50:00Z</dcterms:created>
  <dcterms:modified xsi:type="dcterms:W3CDTF">2015-02-26T17:01:00Z</dcterms:modified>
</cp:coreProperties>
</file>