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1B652F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1B652F" w:rsidRPr="002533EA" w:rsidRDefault="001B652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1B652F" w:rsidRPr="002533EA" w:rsidRDefault="001B652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B652F" w:rsidRPr="002533EA" w:rsidRDefault="001B652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1B652F" w:rsidRPr="002533EA" w:rsidRDefault="001B652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1B652F" w:rsidRPr="002533EA" w:rsidRDefault="001B652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>
      <w:pPr>
        <w:rPr>
          <w:b/>
        </w:rPr>
      </w:pPr>
    </w:p>
    <w:p w:rsidR="001B652F" w:rsidRPr="002533EA" w:rsidRDefault="001B652F" w:rsidP="001B652F">
      <w:pPr>
        <w:rPr>
          <w:b/>
        </w:rPr>
      </w:pPr>
    </w:p>
    <w:p w:rsidR="001B652F" w:rsidRPr="002533EA" w:rsidRDefault="001B652F" w:rsidP="001B652F">
      <w:pPr>
        <w:rPr>
          <w:b/>
        </w:rPr>
      </w:pPr>
    </w:p>
    <w:p w:rsidR="001B652F" w:rsidRPr="002533EA" w:rsidRDefault="001B652F" w:rsidP="001B6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1B652F" w:rsidRPr="002533EA" w:rsidRDefault="001B652F" w:rsidP="001B652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52F" w:rsidRPr="002533EA" w:rsidRDefault="001B652F" w:rsidP="001B652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52F" w:rsidRPr="002533EA" w:rsidRDefault="001B652F" w:rsidP="001B6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1B652F" w:rsidRPr="001B652F" w:rsidRDefault="001B652F" w:rsidP="001B65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пневмонію. </w:t>
      </w:r>
    </w:p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/>
    <w:p w:rsidR="001B652F" w:rsidRPr="002533EA" w:rsidRDefault="001B652F" w:rsidP="001B652F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1B652F" w:rsidRPr="002533EA" w:rsidRDefault="001B652F" w:rsidP="001B652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на пневмонію.</w:t>
      </w:r>
    </w:p>
    <w:p w:rsidR="001B652F" w:rsidRPr="00F26E3C" w:rsidRDefault="001B652F" w:rsidP="001B652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1B652F">
        <w:rPr>
          <w:rFonts w:ascii="Times New Roman" w:hAnsi="Times New Roman" w:cs="Times New Roman"/>
          <w:sz w:val="24"/>
          <w:szCs w:val="24"/>
        </w:rPr>
        <w:t xml:space="preserve"> </w:t>
      </w:r>
      <w:r w:rsidRPr="002652B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12;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B652F">
        <w:rPr>
          <w:rFonts w:ascii="Times New Roman" w:hAnsi="Times New Roman" w:cs="Times New Roman"/>
          <w:sz w:val="24"/>
          <w:szCs w:val="24"/>
        </w:rPr>
        <w:t xml:space="preserve">13;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B652F">
        <w:rPr>
          <w:rFonts w:ascii="Times New Roman" w:hAnsi="Times New Roman" w:cs="Times New Roman"/>
          <w:sz w:val="24"/>
          <w:szCs w:val="24"/>
        </w:rPr>
        <w:t xml:space="preserve">14;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B652F">
        <w:rPr>
          <w:rFonts w:ascii="Times New Roman" w:hAnsi="Times New Roman" w:cs="Times New Roman"/>
          <w:sz w:val="24"/>
          <w:szCs w:val="24"/>
        </w:rPr>
        <w:t xml:space="preserve">15;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B652F">
        <w:rPr>
          <w:rFonts w:ascii="Times New Roman" w:hAnsi="Times New Roman" w:cs="Times New Roman"/>
          <w:sz w:val="24"/>
          <w:szCs w:val="24"/>
        </w:rPr>
        <w:t>16; J18</w:t>
      </w:r>
    </w:p>
    <w:p w:rsidR="001B652F" w:rsidRPr="002533EA" w:rsidRDefault="001B652F" w:rsidP="001B652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1B652F" w:rsidRPr="002533EA" w:rsidRDefault="001B652F" w:rsidP="001B652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1B652F" w:rsidRPr="002533EA" w:rsidRDefault="001B652F" w:rsidP="001B652F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1B652F" w:rsidRPr="002533EA" w:rsidRDefault="001B652F" w:rsidP="001B652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1B652F" w:rsidRPr="002533EA" w:rsidTr="00E405AB">
        <w:tc>
          <w:tcPr>
            <w:tcW w:w="4851" w:type="dxa"/>
          </w:tcPr>
          <w:p w:rsidR="001B652F" w:rsidRPr="002533EA" w:rsidRDefault="001B652F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1B652F" w:rsidRPr="002533EA" w:rsidRDefault="001B652F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1B652F" w:rsidRPr="002533EA" w:rsidTr="00E405AB">
        <w:tc>
          <w:tcPr>
            <w:tcW w:w="4851" w:type="dxa"/>
          </w:tcPr>
          <w:p w:rsidR="001B652F" w:rsidRPr="002533EA" w:rsidRDefault="001B652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Ю.Д.</w:t>
            </w:r>
          </w:p>
        </w:tc>
        <w:tc>
          <w:tcPr>
            <w:tcW w:w="4644" w:type="dxa"/>
          </w:tcPr>
          <w:p w:rsidR="001B652F" w:rsidRPr="002533EA" w:rsidRDefault="001B652F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педіатр</w:t>
            </w:r>
          </w:p>
        </w:tc>
      </w:tr>
    </w:tbl>
    <w:p w:rsidR="001B652F" w:rsidRPr="002533EA" w:rsidRDefault="001B652F" w:rsidP="001B652F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1B652F" w:rsidRPr="002533EA" w:rsidRDefault="001B652F" w:rsidP="001B652F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52F" w:rsidRDefault="001B652F" w:rsidP="001B652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BB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28.12.2002 № 502 «Про затвердження тимчасових нормативів надання медичної допомоги дитячому населенню в умовах </w:t>
      </w:r>
      <w:proofErr w:type="spellStart"/>
      <w:r w:rsidRPr="002652BB">
        <w:rPr>
          <w:rFonts w:ascii="Times New Roman" w:hAnsi="Times New Roman" w:cs="Times New Roman"/>
          <w:b/>
          <w:sz w:val="24"/>
          <w:szCs w:val="24"/>
        </w:rPr>
        <w:t>амбулаторно-</w:t>
      </w:r>
      <w:proofErr w:type="spellEnd"/>
      <w:r w:rsidRPr="002652BB">
        <w:rPr>
          <w:rFonts w:ascii="Times New Roman" w:hAnsi="Times New Roman" w:cs="Times New Roman"/>
          <w:b/>
          <w:sz w:val="24"/>
          <w:szCs w:val="24"/>
        </w:rPr>
        <w:t xml:space="preserve"> поліклінічних закладів»;</w:t>
      </w:r>
    </w:p>
    <w:p w:rsidR="001B652F" w:rsidRPr="002652BB" w:rsidRDefault="001B652F" w:rsidP="001B652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BB">
        <w:rPr>
          <w:rFonts w:ascii="Times New Roman" w:hAnsi="Times New Roman" w:cs="Times New Roman"/>
          <w:b/>
          <w:sz w:val="24"/>
          <w:szCs w:val="24"/>
        </w:rPr>
        <w:t>Наказ МОЗ України від 10.01.2005 № 9 «Про затвердження протоколів лікування за спеціальністю «Педіатрія»;</w:t>
      </w:r>
    </w:p>
    <w:p w:rsidR="001B652F" w:rsidRPr="002533EA" w:rsidRDefault="001B652F" w:rsidP="001B652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1B652F" w:rsidRPr="002533EA" w:rsidRDefault="001B652F" w:rsidP="001B652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1B652F" w:rsidRPr="002533EA" w:rsidRDefault="001B652F" w:rsidP="001B652F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52F" w:rsidRPr="002533EA" w:rsidRDefault="001B652F" w:rsidP="001B652F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1B652F" w:rsidRPr="002533EA" w:rsidRDefault="001B652F" w:rsidP="001B65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1B652F" w:rsidRPr="002533EA" w:rsidTr="00E405AB">
        <w:tc>
          <w:tcPr>
            <w:tcW w:w="1668" w:type="dxa"/>
          </w:tcPr>
          <w:p w:rsidR="001B652F" w:rsidRPr="002533EA" w:rsidRDefault="001B652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1B652F" w:rsidRPr="002533EA" w:rsidRDefault="001B652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1B652F" w:rsidRPr="002533EA" w:rsidRDefault="001B652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1B652F" w:rsidRPr="002533EA" w:rsidRDefault="001B652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1B652F" w:rsidRPr="002533EA" w:rsidRDefault="001B652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1B652F" w:rsidRPr="002533EA" w:rsidTr="00E405AB">
        <w:tc>
          <w:tcPr>
            <w:tcW w:w="1668" w:type="dxa"/>
          </w:tcPr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953162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лікарем-педіатром </w:t>
            </w:r>
            <w:r w:rsidR="001B652F" w:rsidRPr="002533EA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-педіатра</w:t>
            </w: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953162">
              <w:rPr>
                <w:rFonts w:ascii="Times New Roman" w:hAnsi="Times New Roman" w:cs="Times New Roman"/>
                <w:sz w:val="24"/>
                <w:szCs w:val="24"/>
              </w:rPr>
              <w:t xml:space="preserve">-педіатром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1B652F" w:rsidRPr="002533EA" w:rsidRDefault="001B652F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консультаційного висновок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B652F" w:rsidRPr="002533EA" w:rsidRDefault="001B652F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652BB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652BB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Лікар-педіатр 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Зінчук Ю.Д.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1B652F" w:rsidRPr="002533EA" w:rsidTr="00E405AB">
        <w:tc>
          <w:tcPr>
            <w:tcW w:w="1668" w:type="dxa"/>
          </w:tcPr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1B652F" w:rsidRPr="001B652F" w:rsidRDefault="001B652F" w:rsidP="001B652F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1. Клінічний огляд з урахуванням загального стану, температури тіла, наявності та характеру кашлю, мокротиння, частоти дихання, пульсу та участі допоміжної мускулатури грудної клітини. Дані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фізикального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обстеження легенів, серцево-судинної системи,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пальпаторного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перкуторного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обстеження паренхіматозних органів черевної порожнини, характеру випорожнення.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2. Загальний аналіз крові, сечі (в динаміці захворювання)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3. Аналіз калу на дисбактеріоз за показаннями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4. Бактеріологічне дослідження харкотиння на мікрофлору (за показаннями)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5. Рентгенографія органів грудної клітки в двох проекціях в динаміці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6. ЕКГ за показаннями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7. Консультації ЛОР та інших спеціалістів за показаннями</w:t>
            </w:r>
            <w:r w:rsidRPr="0095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9" w:type="dxa"/>
          </w:tcPr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2F" w:rsidRPr="002652BB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Лікар-педіатр 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Зінчук Ю.Д.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1B652F" w:rsidRPr="002533EA" w:rsidTr="00E405AB">
        <w:tc>
          <w:tcPr>
            <w:tcW w:w="1668" w:type="dxa"/>
          </w:tcPr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Лікувально-профілактичні заходи</w:t>
            </w:r>
          </w:p>
        </w:tc>
        <w:tc>
          <w:tcPr>
            <w:tcW w:w="3454" w:type="dxa"/>
          </w:tcPr>
          <w:p w:rsidR="001B652F" w:rsidRPr="001B652F" w:rsidRDefault="001B652F" w:rsidP="00E405A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1. Підтримка нормальної температури, вологості повітря в кімнаті хворого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2. Раціональне харчування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3. Підтримка водного балансу організму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Активні пероральні форми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пеніцилінових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антибіотиків при необхідності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парентеральних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, наприклад,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амоксицилін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клавуланат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аугментин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та інші); при недостатньому ефекті -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цефалоспорини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II - III покоління або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макроліди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, можлива також заміна на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фторхіналіни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Симптоматична терапія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бронхообструктивного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синдрому -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бронхолітики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, жарознижуючі: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німесулід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та інші;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мукоактивні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препарати -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та інші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Фізіопрорцедури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та ЛФК за показаннями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Етіотропна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терапія ГРВІ (за показаннями)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8. Лікування фонових захворювань (анемія та інші)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9. Санація хронічних вогнищ інфекції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10. Корекція дисбактеріозу (</w:t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мультипробіотик-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симбітер</w:t>
            </w:r>
            <w:proofErr w:type="spellEnd"/>
            <w:r w:rsidRPr="001B652F">
              <w:rPr>
                <w:rFonts w:ascii="Times New Roman" w:hAnsi="Times New Roman" w:cs="Times New Roman"/>
                <w:sz w:val="24"/>
                <w:szCs w:val="24"/>
              </w:rPr>
              <w:t xml:space="preserve"> та інші).</w:t>
            </w:r>
          </w:p>
        </w:tc>
        <w:tc>
          <w:tcPr>
            <w:tcW w:w="1649" w:type="dxa"/>
          </w:tcPr>
          <w:p w:rsidR="001B652F" w:rsidRPr="009507DF" w:rsidRDefault="001B652F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2F" w:rsidRPr="002652BB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Лікар-педіатр 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Зінчук Ю.Д.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1B652F" w:rsidRPr="001B652F" w:rsidRDefault="001B652F" w:rsidP="001B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1. Відсутність клініко-рентгенологічних ознак пневмонії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2. Нормалізація лабораторних показників</w:t>
            </w:r>
            <w:r w:rsidRPr="001B652F">
              <w:rPr>
                <w:rFonts w:ascii="Times New Roman" w:hAnsi="Times New Roman" w:cs="Times New Roman"/>
                <w:sz w:val="24"/>
                <w:szCs w:val="24"/>
              </w:rPr>
              <w:br/>
              <w:t>3. При відсутності рецидиву або повторної пневмонії зняття з обліку.</w:t>
            </w:r>
          </w:p>
        </w:tc>
      </w:tr>
      <w:tr w:rsidR="001B652F" w:rsidRPr="002533EA" w:rsidTr="00E405AB">
        <w:tc>
          <w:tcPr>
            <w:tcW w:w="1668" w:type="dxa"/>
          </w:tcPr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1B652F" w:rsidRPr="001B652F" w:rsidRDefault="001B652F" w:rsidP="00E40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2F">
              <w:rPr>
                <w:rFonts w:ascii="Times New Roman" w:hAnsi="Times New Roman" w:cs="Times New Roman"/>
                <w:sz w:val="24"/>
                <w:szCs w:val="24"/>
              </w:rPr>
              <w:t>Диспансерний нагляд протягом 6 місяців з щотижневим оглядом на першому місяці, в подальшому - 1 раз на місяць.</w:t>
            </w:r>
          </w:p>
        </w:tc>
        <w:tc>
          <w:tcPr>
            <w:tcW w:w="1649" w:type="dxa"/>
          </w:tcPr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2F" w:rsidRPr="002533EA" w:rsidRDefault="001B652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B652F" w:rsidRPr="002533EA" w:rsidRDefault="001B652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bookmarkEnd w:id="0"/>
    </w:tbl>
    <w:p w:rsidR="00CC4487" w:rsidRDefault="00CC4487"/>
    <w:sectPr w:rsidR="00CC4487" w:rsidSect="004168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52F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B652F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168AF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3162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2</cp:revision>
  <dcterms:created xsi:type="dcterms:W3CDTF">2015-02-19T09:23:00Z</dcterms:created>
  <dcterms:modified xsi:type="dcterms:W3CDTF">2015-03-01T13:16:00Z</dcterms:modified>
</cp:coreProperties>
</file>