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456" w:type="dxa"/>
        <w:tblInd w:w="-318" w:type="dxa"/>
        <w:tblLook w:val="04A0" w:firstRow="1" w:lastRow="0" w:firstColumn="1" w:lastColumn="0" w:noHBand="0" w:noVBand="1"/>
      </w:tblPr>
      <w:tblGrid>
        <w:gridCol w:w="5529"/>
        <w:gridCol w:w="4927"/>
      </w:tblGrid>
      <w:tr w:rsidR="00566A96" w:rsidRPr="00AD74C2" w:rsidTr="00A613A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566A96" w:rsidRPr="00AD74C2" w:rsidRDefault="00566A96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ПОГОДЖЕНО</w:t>
            </w:r>
          </w:p>
          <w:p w:rsidR="00566A96" w:rsidRPr="00AD74C2" w:rsidRDefault="00566A96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Заступник Директора</w:t>
            </w:r>
          </w:p>
          <w:p w:rsidR="00566A96" w:rsidRPr="00AD74C2" w:rsidRDefault="00566A96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Департаменту охорони здоров’я</w:t>
            </w:r>
          </w:p>
          <w:p w:rsidR="00566A96" w:rsidRPr="00AD74C2" w:rsidRDefault="00566A96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 органу Київської міської ради</w:t>
            </w:r>
          </w:p>
          <w:p w:rsidR="00566A96" w:rsidRPr="00AD74C2" w:rsidRDefault="00566A96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(Київської міської Державної адміністрації)</w:t>
            </w:r>
          </w:p>
          <w:p w:rsidR="00566A96" w:rsidRPr="00AD74C2" w:rsidRDefault="00566A96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Курмишов</w:t>
            </w:r>
            <w:proofErr w:type="spellEnd"/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 _______________</w:t>
            </w:r>
          </w:p>
          <w:p w:rsidR="00566A96" w:rsidRPr="00AD74C2" w:rsidRDefault="00566A96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66A96" w:rsidRPr="00AD74C2" w:rsidRDefault="00566A96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ЗАТВЕРДЖЕНО</w:t>
            </w:r>
          </w:p>
          <w:p w:rsidR="00566A96" w:rsidRPr="00AD74C2" w:rsidRDefault="00566A96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566A96" w:rsidRPr="00AD74C2" w:rsidRDefault="00566A96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«ПАО»</w:t>
            </w:r>
          </w:p>
          <w:p w:rsidR="00566A96" w:rsidRPr="00AD74C2" w:rsidRDefault="00566A96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Ярошенко О.В. _______________</w:t>
            </w:r>
          </w:p>
          <w:p w:rsidR="00566A96" w:rsidRPr="00AD74C2" w:rsidRDefault="00566A96" w:rsidP="00A613AF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«__»____________201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року</w:t>
            </w:r>
          </w:p>
        </w:tc>
      </w:tr>
    </w:tbl>
    <w:p w:rsidR="00566A96" w:rsidRPr="00AD74C2" w:rsidRDefault="00566A96" w:rsidP="00566A96"/>
    <w:p w:rsidR="00566A96" w:rsidRPr="00AD74C2" w:rsidRDefault="00566A96" w:rsidP="00566A96"/>
    <w:p w:rsidR="00566A96" w:rsidRPr="00AD74C2" w:rsidRDefault="00566A96" w:rsidP="00566A96">
      <w:pPr>
        <w:rPr>
          <w:b/>
        </w:rPr>
      </w:pPr>
    </w:p>
    <w:p w:rsidR="00566A96" w:rsidRPr="00AD74C2" w:rsidRDefault="00566A96" w:rsidP="00566A96">
      <w:pPr>
        <w:rPr>
          <w:b/>
        </w:rPr>
      </w:pPr>
    </w:p>
    <w:p w:rsidR="00566A96" w:rsidRPr="00AD74C2" w:rsidRDefault="00566A96" w:rsidP="00566A96">
      <w:pPr>
        <w:rPr>
          <w:b/>
        </w:rPr>
      </w:pPr>
    </w:p>
    <w:p w:rsidR="00566A96" w:rsidRPr="00AD74C2" w:rsidRDefault="00566A96" w:rsidP="00566A96">
      <w:pPr>
        <w:rPr>
          <w:b/>
        </w:rPr>
      </w:pPr>
    </w:p>
    <w:p w:rsidR="00566A96" w:rsidRPr="00AD74C2" w:rsidRDefault="00566A96" w:rsidP="00566A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ПРИВАТНЕ ПІДПРИЄМСТВО </w:t>
      </w:r>
      <w:r w:rsidRPr="00AD74C2">
        <w:rPr>
          <w:rFonts w:ascii="Times New Roman" w:hAnsi="Times New Roman" w:cs="Times New Roman"/>
          <w:b/>
          <w:sz w:val="24"/>
          <w:szCs w:val="24"/>
        </w:rPr>
        <w:br/>
        <w:t>«ПАО»</w:t>
      </w:r>
    </w:p>
    <w:p w:rsidR="00566A96" w:rsidRPr="00AD74C2" w:rsidRDefault="00566A96" w:rsidP="00566A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A96" w:rsidRPr="00AD74C2" w:rsidRDefault="00566A96" w:rsidP="00566A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>ЛОКАЛЬНИЙ ПРОТОКОЛ</w:t>
      </w:r>
    </w:p>
    <w:p w:rsidR="00566A96" w:rsidRPr="00AD74C2" w:rsidRDefault="00566A96" w:rsidP="00566A96">
      <w:pPr>
        <w:spacing w:before="120" w:after="60" w:line="240" w:lineRule="auto"/>
        <w:jc w:val="center"/>
        <w:outlineLvl w:val="2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D74C2">
        <w:rPr>
          <w:rFonts w:ascii="Times New Roman" w:eastAsia="MS Mincho" w:hAnsi="Times New Roman" w:cs="Times New Roman"/>
          <w:bCs/>
          <w:i/>
          <w:sz w:val="24"/>
          <w:szCs w:val="24"/>
          <w:lang w:eastAsia="ja-JP"/>
        </w:rPr>
        <w:t xml:space="preserve">Надання медичної допомоги хворим </w:t>
      </w:r>
      <w:r w:rsidR="00406DDA">
        <w:rPr>
          <w:rFonts w:ascii="Times New Roman" w:hAnsi="Times New Roman" w:cs="Times New Roman"/>
          <w:i/>
          <w:sz w:val="24"/>
          <w:szCs w:val="24"/>
        </w:rPr>
        <w:t>на</w:t>
      </w:r>
      <w:r w:rsidR="00406DDA" w:rsidRPr="00406DDA">
        <w:rPr>
          <w:rFonts w:ascii="Times New Roman" w:hAnsi="Times New Roman" w:cs="Times New Roman"/>
          <w:i/>
          <w:sz w:val="24"/>
          <w:szCs w:val="24"/>
        </w:rPr>
        <w:t xml:space="preserve"> сечокам'яну хворобу. Камені нирки</w:t>
      </w:r>
      <w:r w:rsidR="00406DDA" w:rsidRPr="00406DDA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566A96" w:rsidRPr="00AD74C2" w:rsidRDefault="00566A96" w:rsidP="00566A96"/>
    <w:p w:rsidR="00566A96" w:rsidRPr="00AD74C2" w:rsidRDefault="00566A96" w:rsidP="00566A96"/>
    <w:p w:rsidR="00566A96" w:rsidRPr="00AD74C2" w:rsidRDefault="00566A96" w:rsidP="00566A96"/>
    <w:p w:rsidR="00566A96" w:rsidRPr="00AD74C2" w:rsidRDefault="00566A96" w:rsidP="00566A96"/>
    <w:p w:rsidR="00566A96" w:rsidRPr="00AD74C2" w:rsidRDefault="00566A96" w:rsidP="00566A96">
      <w:pPr>
        <w:rPr>
          <w:lang w:val="ru-RU"/>
        </w:rPr>
      </w:pPr>
    </w:p>
    <w:p w:rsidR="00566A96" w:rsidRPr="00AD74C2" w:rsidRDefault="00566A96" w:rsidP="00566A96">
      <w:pPr>
        <w:rPr>
          <w:lang w:val="ru-RU"/>
        </w:rPr>
      </w:pPr>
    </w:p>
    <w:p w:rsidR="00566A96" w:rsidRPr="00AD74C2" w:rsidRDefault="00566A96" w:rsidP="00566A96"/>
    <w:p w:rsidR="00566A96" w:rsidRPr="00AD74C2" w:rsidRDefault="00566A96" w:rsidP="00566A96"/>
    <w:p w:rsidR="00566A96" w:rsidRPr="00AD74C2" w:rsidRDefault="00566A96" w:rsidP="00566A96"/>
    <w:p w:rsidR="00566A96" w:rsidRPr="00AD74C2" w:rsidRDefault="00566A96" w:rsidP="00566A96"/>
    <w:p w:rsidR="00566A96" w:rsidRDefault="00566A96" w:rsidP="00566A96">
      <w:pPr>
        <w:rPr>
          <w:lang w:val="ru-RU"/>
        </w:rPr>
      </w:pPr>
    </w:p>
    <w:p w:rsidR="00566A96" w:rsidRPr="00AD74C2" w:rsidRDefault="00566A96" w:rsidP="00566A96">
      <w:pPr>
        <w:rPr>
          <w:lang w:val="ru-RU"/>
        </w:rPr>
      </w:pPr>
    </w:p>
    <w:p w:rsidR="00566A96" w:rsidRPr="00AD74C2" w:rsidRDefault="00566A96" w:rsidP="00566A96"/>
    <w:p w:rsidR="00566A96" w:rsidRPr="00AD74C2" w:rsidRDefault="00566A96" w:rsidP="00566A96"/>
    <w:p w:rsidR="00566A96" w:rsidRPr="00AD74C2" w:rsidRDefault="00566A96" w:rsidP="00566A96"/>
    <w:p w:rsidR="00566A96" w:rsidRPr="00AD74C2" w:rsidRDefault="00566A96" w:rsidP="00566A96">
      <w:pPr>
        <w:numPr>
          <w:ilvl w:val="0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lastRenderedPageBreak/>
        <w:t>ПАСПОРТНА ЧАСТИНА.</w:t>
      </w:r>
    </w:p>
    <w:p w:rsidR="00566A96" w:rsidRPr="00AD74C2" w:rsidRDefault="00566A96" w:rsidP="00566A96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Діагноз: </w:t>
      </w:r>
      <w:r w:rsidRPr="00AD74C2">
        <w:rPr>
          <w:rFonts w:ascii="Times New Roman" w:hAnsi="Times New Roman" w:cs="Times New Roman"/>
          <w:i/>
          <w:sz w:val="24"/>
          <w:szCs w:val="24"/>
        </w:rPr>
        <w:t xml:space="preserve">Надання медичної допомоги хворим </w:t>
      </w:r>
      <w:r w:rsidR="00406DDA">
        <w:rPr>
          <w:rFonts w:ascii="Times New Roman" w:hAnsi="Times New Roman" w:cs="Times New Roman"/>
          <w:i/>
          <w:sz w:val="24"/>
          <w:szCs w:val="24"/>
        </w:rPr>
        <w:t>на</w:t>
      </w:r>
      <w:r w:rsidR="00406DDA" w:rsidRPr="00406DDA">
        <w:rPr>
          <w:rFonts w:ascii="Times New Roman" w:hAnsi="Times New Roman" w:cs="Times New Roman"/>
          <w:i/>
          <w:sz w:val="24"/>
          <w:szCs w:val="24"/>
        </w:rPr>
        <w:t xml:space="preserve"> сечокам'яну хворобу. Камені нирки</w:t>
      </w:r>
      <w:r w:rsidRPr="00AD74C2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566A96" w:rsidRPr="00AD74C2" w:rsidRDefault="00566A96" w:rsidP="00566A96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rPr>
          <w:rFonts w:ascii="Times New Roman" w:hAnsi="Times New Roman" w:cs="Times New Roman"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</w:rPr>
        <w:t xml:space="preserve"> Шифр </w:t>
      </w:r>
      <w:r w:rsidRPr="00AD74C2">
        <w:rPr>
          <w:rFonts w:ascii="Times New Roman" w:hAnsi="Times New Roman" w:cs="Times New Roman"/>
          <w:b/>
          <w:sz w:val="24"/>
          <w:szCs w:val="24"/>
        </w:rPr>
        <w:t>МКХ -10:</w:t>
      </w:r>
      <w:r w:rsidRPr="00AD74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406DDA">
        <w:rPr>
          <w:rFonts w:ascii="Times New Roman" w:hAnsi="Times New Roman" w:cs="Times New Roman"/>
          <w:sz w:val="24"/>
          <w:szCs w:val="24"/>
          <w:lang w:val="ru-RU"/>
        </w:rPr>
        <w:t>20.0</w:t>
      </w:r>
    </w:p>
    <w:p w:rsidR="00566A96" w:rsidRPr="00AD74C2" w:rsidRDefault="00566A96" w:rsidP="00566A96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Дата складання: </w:t>
      </w:r>
    </w:p>
    <w:p w:rsidR="00566A96" w:rsidRPr="00AD74C2" w:rsidRDefault="00566A96" w:rsidP="00566A96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 Дата перегляду:</w:t>
      </w:r>
    </w:p>
    <w:p w:rsidR="00566A96" w:rsidRPr="00AD74C2" w:rsidRDefault="00566A96" w:rsidP="00566A96">
      <w:pPr>
        <w:numPr>
          <w:ilvl w:val="1"/>
          <w:numId w:val="1"/>
        </w:numPr>
        <w:tabs>
          <w:tab w:val="left" w:pos="426"/>
        </w:tabs>
        <w:spacing w:after="0"/>
        <w:ind w:left="851" w:hanging="49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>Наказ по ПРИВАТНОМУ ПІДПРИЄМСТВУ «ПАО» щодо розробки Локального протоколу.</w:t>
      </w:r>
    </w:p>
    <w:p w:rsidR="00566A96" w:rsidRPr="00AD74C2" w:rsidRDefault="00566A96" w:rsidP="00566A96">
      <w:pPr>
        <w:numPr>
          <w:ilvl w:val="1"/>
          <w:numId w:val="1"/>
        </w:numPr>
        <w:spacing w:after="0"/>
        <w:ind w:left="851" w:hanging="49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 Члени робочої групи з розробки локального протоколу: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4644"/>
      </w:tblGrid>
      <w:tr w:rsidR="00566A96" w:rsidRPr="00AD74C2" w:rsidTr="00A613AF">
        <w:tc>
          <w:tcPr>
            <w:tcW w:w="4851" w:type="dxa"/>
          </w:tcPr>
          <w:p w:rsidR="00566A96" w:rsidRPr="00AD74C2" w:rsidRDefault="00566A96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П.І.Б.</w:t>
            </w:r>
          </w:p>
        </w:tc>
        <w:tc>
          <w:tcPr>
            <w:tcW w:w="4644" w:type="dxa"/>
          </w:tcPr>
          <w:p w:rsidR="00566A96" w:rsidRPr="00AD74C2" w:rsidRDefault="00566A96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ПОСАДА</w:t>
            </w:r>
          </w:p>
        </w:tc>
      </w:tr>
      <w:tr w:rsidR="00566A96" w:rsidRPr="00AD74C2" w:rsidTr="00A613AF">
        <w:tc>
          <w:tcPr>
            <w:tcW w:w="4851" w:type="dxa"/>
          </w:tcPr>
          <w:p w:rsidR="00566A96" w:rsidRPr="00AD74C2" w:rsidRDefault="00566A96" w:rsidP="00A613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Ткаченко Марія Дмитрівна</w:t>
            </w:r>
          </w:p>
        </w:tc>
        <w:tc>
          <w:tcPr>
            <w:tcW w:w="4644" w:type="dxa"/>
          </w:tcPr>
          <w:p w:rsidR="00566A96" w:rsidRPr="00AD74C2" w:rsidRDefault="00566A96" w:rsidP="00A613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b/>
                <w:sz w:val="24"/>
                <w:szCs w:val="24"/>
              </w:rPr>
              <w:t>Лікар-уролог</w:t>
            </w:r>
          </w:p>
        </w:tc>
      </w:tr>
    </w:tbl>
    <w:p w:rsidR="00566A96" w:rsidRPr="00AD74C2" w:rsidRDefault="00566A96" w:rsidP="00566A96">
      <w:pPr>
        <w:numPr>
          <w:ilvl w:val="1"/>
          <w:numId w:val="1"/>
        </w:numPr>
        <w:tabs>
          <w:tab w:val="left" w:pos="851"/>
        </w:tabs>
        <w:spacing w:after="0"/>
        <w:ind w:left="426" w:hanging="6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D74C2">
        <w:rPr>
          <w:rFonts w:ascii="Times New Roman" w:hAnsi="Times New Roman" w:cs="Times New Roman"/>
          <w:b/>
          <w:sz w:val="24"/>
          <w:szCs w:val="24"/>
        </w:rPr>
        <w:t>Медико</w:t>
      </w:r>
      <w:proofErr w:type="spellEnd"/>
      <w:r w:rsidRPr="00AD74C2">
        <w:rPr>
          <w:rFonts w:ascii="Times New Roman" w:hAnsi="Times New Roman" w:cs="Times New Roman"/>
          <w:b/>
          <w:sz w:val="24"/>
          <w:szCs w:val="24"/>
        </w:rPr>
        <w:t xml:space="preserve"> - технологічні документи галузевого рівня на підставі яких був розроблений протокол:</w:t>
      </w:r>
    </w:p>
    <w:p w:rsidR="00566A96" w:rsidRPr="00AD74C2" w:rsidRDefault="00566A96" w:rsidP="00566A96">
      <w:pPr>
        <w:tabs>
          <w:tab w:val="left" w:pos="851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A96" w:rsidRPr="00AD74C2" w:rsidRDefault="00566A96" w:rsidP="00566A96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06.12.2004 № 604 Про затвердження клінічних протоколів за спеціальністю </w:t>
      </w:r>
      <w:r w:rsidR="00D91470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Pr="00AD74C2">
        <w:rPr>
          <w:rFonts w:ascii="Times New Roman" w:hAnsi="Times New Roman" w:cs="Times New Roman"/>
          <w:b/>
          <w:sz w:val="24"/>
          <w:szCs w:val="24"/>
        </w:rPr>
        <w:t>Урологія</w:t>
      </w:r>
      <w:r w:rsidR="00D91470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bookmarkStart w:id="0" w:name="_GoBack"/>
      <w:bookmarkEnd w:id="0"/>
      <w:r w:rsidRPr="00AD74C2">
        <w:rPr>
          <w:rFonts w:ascii="Times New Roman" w:hAnsi="Times New Roman" w:cs="Times New Roman"/>
          <w:b/>
          <w:sz w:val="24"/>
          <w:szCs w:val="24"/>
        </w:rPr>
        <w:t>;</w:t>
      </w:r>
    </w:p>
    <w:p w:rsidR="00566A96" w:rsidRPr="00AD74C2" w:rsidRDefault="00566A96" w:rsidP="00566A96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>Наказ МОЗ України від 14.02.2012 № 110 «Про затвердження форм первинної облікової документації, що використовується в закладах охорони здоров’я»;</w:t>
      </w:r>
    </w:p>
    <w:p w:rsidR="00566A96" w:rsidRPr="00AD74C2" w:rsidRDefault="00566A96" w:rsidP="00566A96">
      <w:pPr>
        <w:numPr>
          <w:ilvl w:val="0"/>
          <w:numId w:val="2"/>
        </w:numPr>
        <w:tabs>
          <w:tab w:val="left" w:pos="426"/>
        </w:tabs>
        <w:spacing w:after="0"/>
        <w:ind w:left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Наказ МОЗ України від 28.09.2012 № 751 «Про створення і впровадження </w:t>
      </w:r>
      <w:proofErr w:type="spellStart"/>
      <w:r w:rsidRPr="00AD74C2">
        <w:rPr>
          <w:rFonts w:ascii="Times New Roman" w:hAnsi="Times New Roman" w:cs="Times New Roman"/>
          <w:b/>
          <w:sz w:val="24"/>
          <w:szCs w:val="24"/>
        </w:rPr>
        <w:t>медико-технологічних</w:t>
      </w:r>
      <w:proofErr w:type="spellEnd"/>
      <w:r w:rsidRPr="00AD74C2">
        <w:rPr>
          <w:rFonts w:ascii="Times New Roman" w:hAnsi="Times New Roman" w:cs="Times New Roman"/>
          <w:b/>
          <w:sz w:val="24"/>
          <w:szCs w:val="24"/>
        </w:rPr>
        <w:t xml:space="preserve"> документів по стандартизації медичної допомоги в системі Міністерства охорони здоров’я»;</w:t>
      </w:r>
    </w:p>
    <w:p w:rsidR="00566A96" w:rsidRPr="00AD74C2" w:rsidRDefault="00566A96" w:rsidP="00566A96">
      <w:pPr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6A96" w:rsidRPr="00AD74C2" w:rsidRDefault="00566A96" w:rsidP="00566A96">
      <w:pPr>
        <w:numPr>
          <w:ilvl w:val="1"/>
          <w:numId w:val="1"/>
        </w:numPr>
        <w:tabs>
          <w:tab w:val="left" w:pos="426"/>
        </w:tabs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4C2">
        <w:rPr>
          <w:rFonts w:ascii="Times New Roman" w:hAnsi="Times New Roman" w:cs="Times New Roman"/>
          <w:b/>
          <w:sz w:val="24"/>
          <w:szCs w:val="24"/>
        </w:rPr>
        <w:t xml:space="preserve"> Матеріально-технічне забезпечення (Додаток 1).</w:t>
      </w:r>
    </w:p>
    <w:p w:rsidR="00566A96" w:rsidRPr="00AD74C2" w:rsidRDefault="00566A96" w:rsidP="00566A9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843"/>
        <w:gridCol w:w="1417"/>
        <w:gridCol w:w="1667"/>
      </w:tblGrid>
      <w:tr w:rsidR="00566A96" w:rsidRPr="00AD74C2" w:rsidTr="00A613AF">
        <w:tc>
          <w:tcPr>
            <w:tcW w:w="1668" w:type="dxa"/>
          </w:tcPr>
          <w:p w:rsidR="00566A96" w:rsidRPr="00AD74C2" w:rsidRDefault="00566A96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Положення локального Протоколу медичної допомоги</w:t>
            </w:r>
          </w:p>
        </w:tc>
        <w:tc>
          <w:tcPr>
            <w:tcW w:w="3260" w:type="dxa"/>
            <w:vAlign w:val="center"/>
          </w:tcPr>
          <w:p w:rsidR="00566A96" w:rsidRPr="00AD74C2" w:rsidRDefault="00566A96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Необхідні дії згідно стандарту</w:t>
            </w:r>
          </w:p>
        </w:tc>
        <w:tc>
          <w:tcPr>
            <w:tcW w:w="1843" w:type="dxa"/>
            <w:vAlign w:val="center"/>
          </w:tcPr>
          <w:p w:rsidR="00566A96" w:rsidRPr="00AD74C2" w:rsidRDefault="00566A96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Строки виконання</w:t>
            </w:r>
          </w:p>
        </w:tc>
        <w:tc>
          <w:tcPr>
            <w:tcW w:w="1417" w:type="dxa"/>
            <w:vAlign w:val="center"/>
          </w:tcPr>
          <w:p w:rsidR="00566A96" w:rsidRPr="00AD74C2" w:rsidRDefault="00566A96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Виконавці</w:t>
            </w:r>
          </w:p>
        </w:tc>
        <w:tc>
          <w:tcPr>
            <w:tcW w:w="1667" w:type="dxa"/>
            <w:vAlign w:val="center"/>
          </w:tcPr>
          <w:p w:rsidR="00566A96" w:rsidRPr="00AD74C2" w:rsidRDefault="00566A96" w:rsidP="00A613AF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Індикатори якості медичної допомоги</w:t>
            </w:r>
          </w:p>
        </w:tc>
      </w:tr>
      <w:tr w:rsidR="00566A96" w:rsidRPr="00AD74C2" w:rsidTr="00A613AF">
        <w:tc>
          <w:tcPr>
            <w:tcW w:w="1668" w:type="dxa"/>
          </w:tcPr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надання медичної допомоги </w:t>
            </w:r>
          </w:p>
        </w:tc>
        <w:tc>
          <w:tcPr>
            <w:tcW w:w="3260" w:type="dxa"/>
          </w:tcPr>
          <w:p w:rsidR="00566A96" w:rsidRPr="00AD74C2" w:rsidRDefault="00566A96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1.Запис пацієнта через реєстратуру</w:t>
            </w:r>
          </w:p>
          <w:p w:rsidR="00566A96" w:rsidRPr="00AD74C2" w:rsidRDefault="00566A96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6" w:rsidRPr="00AD74C2" w:rsidRDefault="00566A96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Надання допомоги лікарем</w:t>
            </w:r>
            <w:r w:rsidR="00CB587D">
              <w:rPr>
                <w:rFonts w:ascii="Times New Roman" w:hAnsi="Times New Roman" w:cs="Times New Roman"/>
                <w:sz w:val="24"/>
                <w:szCs w:val="24"/>
              </w:rPr>
              <w:t xml:space="preserve">-урологом </w:t>
            </w: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проводиться в кабінеті лікаря</w:t>
            </w:r>
            <w:r w:rsidR="00CB587D">
              <w:rPr>
                <w:rFonts w:ascii="Times New Roman" w:hAnsi="Times New Roman" w:cs="Times New Roman"/>
                <w:sz w:val="24"/>
                <w:szCs w:val="24"/>
              </w:rPr>
              <w:t>-уролога</w:t>
            </w:r>
          </w:p>
          <w:p w:rsidR="00566A96" w:rsidRPr="00AD74C2" w:rsidRDefault="00566A96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6" w:rsidRPr="00AD74C2" w:rsidRDefault="00566A96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2.Оформлення  медичної картки форма 043/o;</w:t>
            </w:r>
          </w:p>
          <w:p w:rsidR="00566A96" w:rsidRPr="00AD74C2" w:rsidRDefault="00566A96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3.Оформлення лікарем</w:t>
            </w:r>
            <w:r w:rsidR="00CB587D">
              <w:rPr>
                <w:rFonts w:ascii="Times New Roman" w:hAnsi="Times New Roman" w:cs="Times New Roman"/>
                <w:sz w:val="24"/>
                <w:szCs w:val="24"/>
              </w:rPr>
              <w:t xml:space="preserve">-уролога </w:t>
            </w: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згоди пацієнта на проведення діагностики, лікування та на проведення операції та знеболення форми 003-6/о;</w:t>
            </w:r>
          </w:p>
          <w:p w:rsidR="00566A96" w:rsidRPr="00AD74C2" w:rsidRDefault="00566A96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4.Заповнення виписки із медичної карти амбулаторного хворого 027/о;</w:t>
            </w:r>
          </w:p>
          <w:p w:rsidR="00566A96" w:rsidRPr="00AD74C2" w:rsidRDefault="00566A96" w:rsidP="00A613AF">
            <w:pPr>
              <w:tabs>
                <w:tab w:val="left" w:pos="17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5.Заповнення консультаційного висновок спеціаліста 028</w:t>
            </w:r>
            <w:r w:rsidRPr="00AD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AD7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D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566A96" w:rsidRPr="00AD74C2" w:rsidRDefault="00566A96" w:rsidP="00A613AF">
            <w:pPr>
              <w:tabs>
                <w:tab w:val="left" w:pos="426"/>
              </w:tabs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 xml:space="preserve">6.Оформлення фінансових </w:t>
            </w: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документів, якщо надана послуга за спец рахунком.</w:t>
            </w:r>
          </w:p>
        </w:tc>
        <w:tc>
          <w:tcPr>
            <w:tcW w:w="1843" w:type="dxa"/>
          </w:tcPr>
          <w:p w:rsidR="00566A96" w:rsidRPr="00AD74C2" w:rsidRDefault="00566A96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1. до 5 хвилин</w:t>
            </w:r>
          </w:p>
          <w:p w:rsidR="00566A96" w:rsidRPr="00AD74C2" w:rsidRDefault="00566A96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6" w:rsidRPr="00AD74C2" w:rsidRDefault="00566A96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6" w:rsidRPr="00AD74C2" w:rsidRDefault="00566A96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6" w:rsidRPr="00AD74C2" w:rsidRDefault="00566A96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6" w:rsidRPr="00AD74C2" w:rsidRDefault="00566A96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6" w:rsidRPr="00AD74C2" w:rsidRDefault="00566A96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6" w:rsidRPr="00AD74C2" w:rsidRDefault="00566A96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6" w:rsidRPr="00AD74C2" w:rsidRDefault="00566A96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6" w:rsidRPr="00AD74C2" w:rsidRDefault="00566A96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6" w:rsidRPr="00AD74C2" w:rsidRDefault="00566A96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6" w:rsidRPr="00AD74C2" w:rsidRDefault="00566A96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6" w:rsidRPr="00AD74C2" w:rsidRDefault="00566A96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6" w:rsidRPr="00AD74C2" w:rsidRDefault="00566A96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 xml:space="preserve">-п.2; п.3; п.4; п.5; п.6 – до </w:t>
            </w:r>
            <w:r w:rsidRPr="00AD74C2">
              <w:rPr>
                <w:rFonts w:ascii="Times New Roman" w:hAnsi="Times New Roman" w:cs="Times New Roman"/>
                <w:sz w:val="24"/>
                <w:szCs w:val="24"/>
              </w:rPr>
              <w:br/>
              <w:t>30 хвилин</w:t>
            </w:r>
          </w:p>
          <w:p w:rsidR="00566A96" w:rsidRPr="00AD74C2" w:rsidRDefault="00566A96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</w:p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П.І.Б.</w:t>
            </w:r>
          </w:p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Лікар-уролог</w:t>
            </w:r>
          </w:p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Ткаченко М.Д.</w:t>
            </w:r>
          </w:p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566A96" w:rsidRPr="00AD74C2" w:rsidRDefault="00566A96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Наявність локального протоколу у лікаря.</w:t>
            </w:r>
          </w:p>
          <w:p w:rsidR="00566A96" w:rsidRPr="00AD74C2" w:rsidRDefault="00566A96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Наявність у кожного пацієнта медичної картки хворого, форми 043</w:t>
            </w:r>
            <w:r w:rsidRPr="00AD74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/о</w:t>
            </w:r>
          </w:p>
        </w:tc>
      </w:tr>
      <w:tr w:rsidR="00566A96" w:rsidRPr="00AD74C2" w:rsidTr="00A613AF">
        <w:tc>
          <w:tcPr>
            <w:tcW w:w="1668" w:type="dxa"/>
          </w:tcPr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Діагностика </w:t>
            </w:r>
          </w:p>
        </w:tc>
        <w:tc>
          <w:tcPr>
            <w:tcW w:w="3260" w:type="dxa"/>
          </w:tcPr>
          <w:p w:rsidR="00406DDA" w:rsidRPr="00406DDA" w:rsidRDefault="00406DDA" w:rsidP="00406DDA">
            <w:pPr>
              <w:tabs>
                <w:tab w:val="left" w:pos="175"/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Діагноз СКХ ставиться на основі специфічних симптомів,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об”єктивного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обстеження, УЗД, рентгенологічних та лабораторних даних.</w:t>
            </w:r>
          </w:p>
          <w:p w:rsidR="00406DDA" w:rsidRPr="00406DDA" w:rsidRDefault="00406DDA" w:rsidP="00406DDA">
            <w:pPr>
              <w:numPr>
                <w:ilvl w:val="0"/>
                <w:numId w:val="5"/>
              </w:numPr>
              <w:tabs>
                <w:tab w:val="left" w:pos="175"/>
                <w:tab w:val="left" w:pos="415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УЗД нирки : в порожнинній системі нирки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візуалізується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ехопозитивна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тінь певної форми та розмірів. При порушенні відтоку сечі з миски – розширення порожнинної системи нирки чи певної групи чашок.</w:t>
            </w:r>
          </w:p>
          <w:p w:rsidR="00406DDA" w:rsidRPr="00406DDA" w:rsidRDefault="00406DDA" w:rsidP="00406DDA">
            <w:pPr>
              <w:numPr>
                <w:ilvl w:val="0"/>
                <w:numId w:val="5"/>
              </w:numPr>
              <w:tabs>
                <w:tab w:val="left" w:pos="175"/>
                <w:tab w:val="left" w:pos="415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Оглядова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урографія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 рентген позитивних каменях в проекції нирки чітко виділяється тінь одного чи декількох конкрементів певної форми і розмірів.</w:t>
            </w:r>
          </w:p>
          <w:p w:rsidR="00406DDA" w:rsidRPr="00406DDA" w:rsidRDefault="00406DDA" w:rsidP="00406DDA">
            <w:pPr>
              <w:numPr>
                <w:ilvl w:val="0"/>
                <w:numId w:val="5"/>
              </w:numPr>
              <w:tabs>
                <w:tab w:val="left" w:pos="175"/>
                <w:tab w:val="left" w:pos="415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Екскреторна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урографія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визначається функціональний стан нирки, зміни з боку миски та чашок, їх розширення, деформація, дефекти наповнення в мисці.</w:t>
            </w:r>
          </w:p>
          <w:p w:rsidR="00406DDA" w:rsidRPr="00406DDA" w:rsidRDefault="00406DDA" w:rsidP="00406DDA">
            <w:pPr>
              <w:numPr>
                <w:ilvl w:val="0"/>
                <w:numId w:val="5"/>
              </w:numPr>
              <w:tabs>
                <w:tab w:val="left" w:pos="175"/>
                <w:tab w:val="left" w:pos="415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Ретроградна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уретеропієлографія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 киснем чи контрастною рідиною): виконується при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рентгеннегативних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каменях нирки. На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пневмопієлограмі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відрізняють округлі тіні каменів, з контрастною рідиною – дефекти наповнення.</w:t>
            </w:r>
          </w:p>
          <w:p w:rsidR="00406DDA" w:rsidRPr="00406DDA" w:rsidRDefault="00406DDA" w:rsidP="00406DDA">
            <w:pPr>
              <w:numPr>
                <w:ilvl w:val="0"/>
                <w:numId w:val="5"/>
              </w:numPr>
              <w:tabs>
                <w:tab w:val="left" w:pos="175"/>
                <w:tab w:val="left" w:pos="415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Радіоізотопна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ренографія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визначається функціональний стан нирок – секреторна та екскреторна функції.</w:t>
            </w:r>
          </w:p>
          <w:p w:rsidR="00406DDA" w:rsidRPr="00406DDA" w:rsidRDefault="00406DDA" w:rsidP="00406DDA">
            <w:pPr>
              <w:numPr>
                <w:ilvl w:val="0"/>
                <w:numId w:val="5"/>
              </w:numPr>
              <w:tabs>
                <w:tab w:val="left" w:pos="175"/>
                <w:tab w:val="left" w:pos="415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Ниркова ангіографія: виконується  при можливих варіантах часткової резекції нирки,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анатрофічній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нефролітотомії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6DDA" w:rsidRPr="00406DDA" w:rsidRDefault="00406DDA" w:rsidP="00406DDA">
            <w:pPr>
              <w:numPr>
                <w:ilvl w:val="0"/>
                <w:numId w:val="5"/>
              </w:numPr>
              <w:tabs>
                <w:tab w:val="left" w:pos="175"/>
                <w:tab w:val="left" w:pos="4155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Комп”ютерна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томографія: виконується в випадках неконтрастних каменів або при наявності СКХ та пухлини нирки.</w:t>
            </w:r>
          </w:p>
          <w:p w:rsidR="00406DDA" w:rsidRPr="00406DDA" w:rsidRDefault="00406DDA" w:rsidP="00406DDA">
            <w:pPr>
              <w:tabs>
                <w:tab w:val="left" w:pos="175"/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лабораторних методів </w:t>
            </w: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дослідження використовують всі загальноприйняті методи обстеження :</w:t>
            </w:r>
          </w:p>
          <w:p w:rsidR="00406DDA" w:rsidRPr="00406DDA" w:rsidRDefault="00406DDA" w:rsidP="00406DDA">
            <w:pPr>
              <w:tabs>
                <w:tab w:val="left" w:pos="175"/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загальний аналіз сечі,</w:t>
            </w:r>
          </w:p>
          <w:p w:rsidR="00406DDA" w:rsidRPr="00406DDA" w:rsidRDefault="00406DDA" w:rsidP="00406DDA">
            <w:pPr>
              <w:tabs>
                <w:tab w:val="left" w:pos="175"/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сечі - триразово, транспорт солей,</w:t>
            </w:r>
          </w:p>
          <w:p w:rsidR="00406DDA" w:rsidRPr="00406DDA" w:rsidRDefault="00406DDA" w:rsidP="00406DDA">
            <w:pPr>
              <w:tabs>
                <w:tab w:val="left" w:pos="175"/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аналіз сечі за Нечипоренком,</w:t>
            </w:r>
          </w:p>
          <w:p w:rsidR="00406DDA" w:rsidRPr="00406DDA" w:rsidRDefault="00406DDA" w:rsidP="00406DDA">
            <w:pPr>
              <w:tabs>
                <w:tab w:val="left" w:pos="175"/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аналіз сечі на активні лейкоцити,</w:t>
            </w:r>
          </w:p>
          <w:p w:rsidR="00406DDA" w:rsidRPr="00406DDA" w:rsidRDefault="00406DDA" w:rsidP="00406DDA">
            <w:pPr>
              <w:tabs>
                <w:tab w:val="left" w:pos="175"/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посів на стерильність,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антибіотико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грама,</w:t>
            </w:r>
          </w:p>
          <w:p w:rsidR="00406DDA" w:rsidRPr="00406DDA" w:rsidRDefault="00406DDA" w:rsidP="00406DDA">
            <w:pPr>
              <w:tabs>
                <w:tab w:val="left" w:pos="175"/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повний загальний аналіз крові,</w:t>
            </w:r>
          </w:p>
          <w:p w:rsidR="00406DDA" w:rsidRPr="00406DDA" w:rsidRDefault="00406DDA" w:rsidP="00406DDA">
            <w:pPr>
              <w:tabs>
                <w:tab w:val="left" w:pos="175"/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група крові, </w:t>
            </w: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Rh</w:t>
            </w: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</w:t>
            </w: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фактор,</w:t>
            </w:r>
          </w:p>
          <w:p w:rsidR="00406DDA" w:rsidRPr="00406DDA" w:rsidRDefault="00406DDA" w:rsidP="00406DDA">
            <w:pPr>
              <w:tabs>
                <w:tab w:val="left" w:pos="175"/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глюкоза крові,</w:t>
            </w:r>
          </w:p>
          <w:p w:rsidR="00406DDA" w:rsidRPr="00406DDA" w:rsidRDefault="00406DDA" w:rsidP="00406DDA">
            <w:pPr>
              <w:tabs>
                <w:tab w:val="left" w:pos="175"/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протромбіновий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індекс,</w:t>
            </w:r>
          </w:p>
          <w:p w:rsidR="00406DDA" w:rsidRPr="00406DDA" w:rsidRDefault="00406DDA" w:rsidP="00406DDA">
            <w:pPr>
              <w:tabs>
                <w:tab w:val="left" w:pos="175"/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креатинін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сечовина крові,</w:t>
            </w:r>
          </w:p>
          <w:p w:rsidR="00406DDA" w:rsidRPr="00406DDA" w:rsidRDefault="00406DDA" w:rsidP="00406DDA">
            <w:pPr>
              <w:tabs>
                <w:tab w:val="left" w:pos="175"/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печінкові проби,</w:t>
            </w:r>
          </w:p>
          <w:p w:rsidR="00406DDA" w:rsidRPr="00406DDA" w:rsidRDefault="00406DDA" w:rsidP="00406DDA">
            <w:pPr>
              <w:tabs>
                <w:tab w:val="left" w:pos="175"/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загальний білок, фракції крові,</w:t>
            </w:r>
          </w:p>
          <w:p w:rsidR="00406DDA" w:rsidRPr="00406DDA" w:rsidRDefault="00406DDA" w:rsidP="00406DDA">
            <w:pPr>
              <w:tabs>
                <w:tab w:val="left" w:pos="175"/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холестерин,</w:t>
            </w:r>
          </w:p>
          <w:p w:rsidR="00406DDA" w:rsidRDefault="00406DDA" w:rsidP="00406DDA">
            <w:pPr>
              <w:tabs>
                <w:tab w:val="left" w:pos="175"/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ЕКГ.</w:t>
            </w:r>
          </w:p>
          <w:p w:rsidR="00566A96" w:rsidRPr="00AD74C2" w:rsidRDefault="00406DDA" w:rsidP="00406DDA">
            <w:pPr>
              <w:tabs>
                <w:tab w:val="left" w:pos="175"/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Характерними для СКХ є: біль,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лейкоцитурія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гематурія, протеїнурія. При ХНН – підвищення  вмісту сечовини, креатині ну крові. При загостренні пієлонефриту – ріст ШОЕ, лейкоцитозу, гіпертермія.</w:t>
            </w:r>
          </w:p>
        </w:tc>
        <w:tc>
          <w:tcPr>
            <w:tcW w:w="1843" w:type="dxa"/>
          </w:tcPr>
          <w:p w:rsidR="00566A96" w:rsidRPr="00AD74C2" w:rsidRDefault="00566A96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6" w:rsidRPr="00AD74C2" w:rsidRDefault="00566A96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6" w:rsidRPr="00AD74C2" w:rsidRDefault="00566A96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6" w:rsidRPr="00AD74C2" w:rsidRDefault="00566A96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6" w:rsidRPr="00AD74C2" w:rsidRDefault="00566A96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Лікар-уролог</w:t>
            </w:r>
          </w:p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Ткаченко М.Д.</w:t>
            </w:r>
          </w:p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566A96" w:rsidRPr="00AD74C2" w:rsidRDefault="00566A96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Вчасно поставлений діагноз. Вчасно розпочато лікування.</w:t>
            </w:r>
          </w:p>
        </w:tc>
      </w:tr>
      <w:tr w:rsidR="00566A96" w:rsidRPr="00AD74C2" w:rsidTr="00A613AF">
        <w:tc>
          <w:tcPr>
            <w:tcW w:w="1668" w:type="dxa"/>
          </w:tcPr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Лікування</w:t>
            </w:r>
          </w:p>
        </w:tc>
        <w:tc>
          <w:tcPr>
            <w:tcW w:w="3260" w:type="dxa"/>
          </w:tcPr>
          <w:p w:rsidR="00406DDA" w:rsidRPr="00406DDA" w:rsidRDefault="00406DDA" w:rsidP="00406DDA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Одним з важливих етапів в лікуванні СКХ  є видалення каменя – перевести стан хворого з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„кам”яного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” в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„передкам”яний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”. Наступним етапом в лікуванні СКХ є проведення корекції головних та другорядних факторів ризику СКХ до норми з подальшим    амбулаторним диспансерним наглядом   на протязі до 3-5 років.</w:t>
            </w:r>
          </w:p>
          <w:p w:rsidR="00406DDA" w:rsidRPr="00406DDA" w:rsidRDefault="00406DDA" w:rsidP="00406DDA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сьогодні при видаленні каменів нирок до 2 см  широко застосовується  дистанційна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літотрипсія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(ДЛТ). В випадках неможливості проведення ДЛТ, виконується  хірургічне втручання –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пієлолітотомія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певних умовах виконується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черезшкірна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нефролітотрипсія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нефролітоекстракція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Хірургічне втручання на нирці (при наявності коралоподібних, рецидивних, множинних каменів) закінчується накладанням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нефростом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зовнішнього дренування нирки.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Нефростоми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видаляються після відновлення пасажу сечі через 10-14 діб. Складними при хірургічному видаленні є рецидивні коралоподібні камені  3-4 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рецидивні коралоподібні камені єдиної нирки. В цих випадках часто застосовується комбіноване видалення каменів: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пієлонефролітотомія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чи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анатрофічна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нефролітотомія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тимчасовим відключенням кровоточу нирки, однією чи декількома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нефростомами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деяких випадках показане прикриття гемодіалізу.</w:t>
            </w:r>
          </w:p>
          <w:p w:rsidR="00406DDA" w:rsidRPr="00406DDA" w:rsidRDefault="00406DDA" w:rsidP="00406DDA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гнійних ускладненнях СКХ – піонефроз, абсцес нирки, пара нефрит і відсутності функції нирки виконується нефректомія.</w:t>
            </w:r>
          </w:p>
          <w:p w:rsidR="00406DDA" w:rsidRPr="00406DDA" w:rsidRDefault="00406DDA" w:rsidP="00406DDA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післяопераційний період проводять загальноприйняті –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фузійну, антибактеріальну, симптоматичну терапію і ( в певних випадках) ранню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метафілактичну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терапію, застосовуючи перфузію порожнинної системи нирки  антисептичними розчинами,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літолітичними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розчинами, ферментами та антибіотиками. Наступним етапом в лікуванні СКХ  є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метафілактика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чи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протирецидивне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лікування.</w:t>
            </w:r>
          </w:p>
          <w:p w:rsidR="00406DDA" w:rsidRPr="00406DDA" w:rsidRDefault="00406DDA" w:rsidP="00406DDA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Загальні підходи до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метафілактики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протирецидивного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лікування) СКХ.</w:t>
            </w:r>
          </w:p>
          <w:p w:rsidR="00406DDA" w:rsidRPr="00406DDA" w:rsidRDefault="00406DDA" w:rsidP="00406DDA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основі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рецидивування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сечових каменів лежать два </w:t>
            </w: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головних фактори ризику:</w:t>
            </w:r>
          </w:p>
          <w:p w:rsidR="00406DDA" w:rsidRPr="00406DDA" w:rsidRDefault="00406DDA" w:rsidP="00406DDA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Недостатність протеолізу сечі, котрий призводить до формування білкової матриці ниркового каменя;</w:t>
            </w:r>
          </w:p>
          <w:p w:rsidR="00406DDA" w:rsidRPr="00406DDA" w:rsidRDefault="00406DDA" w:rsidP="00406DDA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Оптимальний для кристалізації сечових солей  діапазон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сечі в пересиченому розчині сечі, що обумовлює преципітацію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каменеутворюючих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солей та формування кристалічної (мінеральної) частини каменя.</w:t>
            </w:r>
          </w:p>
          <w:p w:rsidR="00406DDA" w:rsidRPr="00406DDA" w:rsidRDefault="00406DDA" w:rsidP="00406DDA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Другорядні фактори ризику нефролітіазу: інфекції сечового тракту, наявність слизу, детриту, злущеного епітелію, солей, піску, залишків каменів після їх видалення, порушення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уродинаміки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06DDA" w:rsidRPr="00406DDA" w:rsidRDefault="00406DDA" w:rsidP="00406DDA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Підвищення протеолітичної активності може бути досягнуто шляхом прийому ферментативних препаратів. При кислій сечі з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5,7 – призначення орального прийому пепсину,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ацидін-пепсину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сечі вище 5,8 призначаються препарати типу фестал,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панзинорм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дигестал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інші, в склад яких входить протеолітичний фермент трипсин. Ферментативні препарати призначаються по 14 днів кожного місяця на протязі 3-4 місяців.</w:t>
            </w:r>
          </w:p>
          <w:p w:rsidR="00406DDA" w:rsidRPr="00406DDA" w:rsidRDefault="00406DDA" w:rsidP="00406DDA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Одним з основних факторів ризику СКХ є концентрація водневих іонів сечі, яка виражається в показниках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кислій сечі (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4,0-5,6) необхідно застосовувати препарати, в складі яких є лимонна кислота, що підлужує сечу: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Ураліт-У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Магурліт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Блемарен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Солімок,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Солуран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інші. Препарати приймаються згідно інструкції на протязі 1-3-6-12 місяців під постійним контролем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сечі, з додержанням цього показника в межах 6,2-6,8, під наглядом лікаря. Паралельно, при корекції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сечі, необхідно проводити корекцію рівня сечової кислоти сироватки крові шляхом прийому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урикостатиків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аллопуринолу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аллополу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алломарону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мілуріту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інш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на протязі 2-3 місяців. На фоні проведення даної терапії рекомендується дієтотерапія з обмеженням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м”ясопродуктів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фітотерапія, антибактеріальна терапія, посилений водний режим.</w:t>
            </w:r>
          </w:p>
          <w:p w:rsidR="00406DDA" w:rsidRPr="00406DDA" w:rsidRDefault="00406DDA" w:rsidP="00406DDA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протирецидивному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метафілактичному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лікуванні оксалатних каменів рекомендується: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блемарен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урол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ксидифон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цистон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(згідно інструкції) на протязі 2-3 місяців в комбінації з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аллопуринолом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Дієта повинна бути збіднена на вміст кальцію. Потрібен посилений водний режим,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фіто-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антибактеріальна терапії (згідно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антибіотикограми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06DDA" w:rsidRPr="00406DDA" w:rsidRDefault="00406DDA" w:rsidP="00406DDA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утворенні фосфорнокислих каменів, що проходить в лужній сечі при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6,8-7,0 та вище, значну роль відіграють мікроорганізми, особливо всі види  </w:t>
            </w: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Proteus</w:t>
            </w: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 рахунок ферменту уреази, що розщеплює сечовину сечі до амонію і тим самим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підлужнює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середовище. В певній мірі при проведенні корекції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фосфатурії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необхідно диференціювати істинну та хибну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фосфатурії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Хибна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фосфатурія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завжди обумовлена наявністю мікроорганізмів, для таких випадків показана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антибіотикотерапія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Істинна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фосфатурія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можлива при нейрогенних захворюваннях  чи хворобах шлунку, </w:t>
            </w: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рекомендується лікування цих захворювань. При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метафілактиці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фосфатів необхідними умовами є:  корекція рівня протеолізу сечі (дивись вище), антибактеріальна терапія згідно посіву сечі, корекція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сечі з лужної в бік підкислення. При цьому рекомендуються: марена красильна,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марелін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літовіт-У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хлористоводна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(соляна) кислота, бензойна кислота, хлорид амонію, метіонін (призначення згідно інструкції) на протязі 2-3 місяців, чи курсами 2 місяці. Вищевказана терапія повинна доповнюватись дієтотерапією з виключенням цитрусових, свіжого молока та молочних продуктів і превалюванням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м”ясної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дієти. До певної міри є корисною фітотерапія, вживання журавлини,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облепіхи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брусниці, насіння дикої моркви.  </w:t>
            </w:r>
          </w:p>
          <w:p w:rsidR="00406DDA" w:rsidRPr="00406DDA" w:rsidRDefault="00406DDA" w:rsidP="00406DDA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протирецидивному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метафілактичному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лікуванні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цистинових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каменів рекомендовано: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пеніцилінамід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артамін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Блемарен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6A96" w:rsidRPr="00AD74C2" w:rsidRDefault="00406DDA" w:rsidP="00406DDA">
            <w:pPr>
              <w:tabs>
                <w:tab w:val="left" w:pos="4155"/>
              </w:tabs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Метафілактика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СКХ повинна проводитись під постійним наглядом лікаря, з контролем УЗД кожен 1-3 місяці, а при необхідності – з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рентенобстеженням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566A96" w:rsidRPr="00AD74C2" w:rsidRDefault="00406DDA" w:rsidP="00A613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6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УЗД 1-3 міс., Рентген контр. 6-12 міс., аналіз сечі -1 раз на міс., </w:t>
            </w:r>
            <w:proofErr w:type="spellStart"/>
            <w:r w:rsidRPr="00406DDA">
              <w:rPr>
                <w:rFonts w:ascii="Times New Roman" w:hAnsi="Times New Roman" w:cs="Times New Roman"/>
                <w:sz w:val="24"/>
                <w:szCs w:val="24"/>
              </w:rPr>
              <w:t>антибіотико</w:t>
            </w:r>
            <w:proofErr w:type="spellEnd"/>
            <w:r w:rsidRPr="00406DDA">
              <w:rPr>
                <w:rFonts w:ascii="Times New Roman" w:hAnsi="Times New Roman" w:cs="Times New Roman"/>
                <w:sz w:val="24"/>
                <w:szCs w:val="24"/>
              </w:rPr>
              <w:t xml:space="preserve"> грама - за показанням</w:t>
            </w:r>
            <w:r w:rsidRPr="00406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</w:tcPr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Лікар-уролог</w:t>
            </w:r>
          </w:p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Ткаченко М.Д.</w:t>
            </w:r>
          </w:p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  <w:tc>
          <w:tcPr>
            <w:tcW w:w="1667" w:type="dxa"/>
          </w:tcPr>
          <w:p w:rsidR="00566A96" w:rsidRPr="00AD74C2" w:rsidRDefault="00406DDA" w:rsidP="00A613AF">
            <w:pPr>
              <w:tabs>
                <w:tab w:val="left" w:pos="17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6DDA">
              <w:rPr>
                <w:rFonts w:ascii="Times New Roman" w:hAnsi="Times New Roman" w:cs="Times New Roman"/>
                <w:sz w:val="24"/>
                <w:szCs w:val="24"/>
              </w:rPr>
              <w:t>Відсутність хибних рецидивів</w:t>
            </w:r>
            <w:r w:rsidRPr="00406D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566A96" w:rsidRPr="00AD74C2" w:rsidTr="00A613AF">
        <w:tc>
          <w:tcPr>
            <w:tcW w:w="1668" w:type="dxa"/>
          </w:tcPr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Реабілітація</w:t>
            </w:r>
          </w:p>
        </w:tc>
        <w:tc>
          <w:tcPr>
            <w:tcW w:w="3260" w:type="dxa"/>
          </w:tcPr>
          <w:p w:rsidR="00566A96" w:rsidRPr="00AD74C2" w:rsidRDefault="00406DDA" w:rsidP="00406DD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Працездатність в післяопераційному періоді знижена до 2-3 місяців. Лікування хронічного пієлонефриту.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Метафілактичне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лікування Санаторно-курортне лікування. Диспансерний нагляд.</w:t>
            </w:r>
          </w:p>
        </w:tc>
        <w:tc>
          <w:tcPr>
            <w:tcW w:w="1843" w:type="dxa"/>
          </w:tcPr>
          <w:p w:rsidR="00566A96" w:rsidRPr="00AD74C2" w:rsidRDefault="00566A96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566A96" w:rsidRPr="00AD74C2" w:rsidRDefault="00566A96" w:rsidP="00A613AF">
            <w:pPr>
              <w:tabs>
                <w:tab w:val="left" w:pos="34"/>
                <w:tab w:val="left" w:pos="317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Дотримання здорового способу життя.</w:t>
            </w:r>
          </w:p>
        </w:tc>
      </w:tr>
      <w:tr w:rsidR="00566A96" w:rsidRPr="00AD74C2" w:rsidTr="00A613AF">
        <w:trPr>
          <w:trHeight w:val="212"/>
        </w:trPr>
        <w:tc>
          <w:tcPr>
            <w:tcW w:w="1668" w:type="dxa"/>
          </w:tcPr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4C2">
              <w:rPr>
                <w:rFonts w:ascii="Times New Roman" w:hAnsi="Times New Roman" w:cs="Times New Roman"/>
                <w:sz w:val="24"/>
                <w:szCs w:val="24"/>
              </w:rPr>
              <w:t>Профілактика</w:t>
            </w:r>
          </w:p>
        </w:tc>
        <w:tc>
          <w:tcPr>
            <w:tcW w:w="3260" w:type="dxa"/>
          </w:tcPr>
          <w:p w:rsidR="00566A96" w:rsidRPr="00AD74C2" w:rsidRDefault="00406DDA" w:rsidP="00406DDA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випадках наявності постійних </w:t>
            </w:r>
            <w:proofErr w:type="spellStart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нефростом</w:t>
            </w:r>
            <w:proofErr w:type="spellEnd"/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потрібен догляд за ними: зміни неф ростом кожні 2-3 </w:t>
            </w:r>
            <w:r w:rsidRPr="00406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місяці, промивання неф ростом кожну добу стерильними розчинами антисептичних препаратів.</w:t>
            </w:r>
          </w:p>
        </w:tc>
        <w:tc>
          <w:tcPr>
            <w:tcW w:w="1843" w:type="dxa"/>
          </w:tcPr>
          <w:p w:rsidR="00566A96" w:rsidRPr="00AD74C2" w:rsidRDefault="00566A96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6A96" w:rsidRPr="00AD74C2" w:rsidRDefault="00566A96" w:rsidP="00A613AF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A96" w:rsidRPr="00AD74C2" w:rsidRDefault="00566A96" w:rsidP="00A61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566A96" w:rsidRPr="00AD74C2" w:rsidRDefault="00566A96" w:rsidP="00A613AF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487" w:rsidRPr="00566A96" w:rsidRDefault="00CC448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C4487" w:rsidRPr="00566A96" w:rsidSect="007501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755" w:rsidRDefault="00406755" w:rsidP="00406755">
      <w:pPr>
        <w:spacing w:after="0" w:line="240" w:lineRule="auto"/>
      </w:pPr>
      <w:r>
        <w:separator/>
      </w:r>
    </w:p>
  </w:endnote>
  <w:endnote w:type="continuationSeparator" w:id="0">
    <w:p w:rsidR="00406755" w:rsidRDefault="00406755" w:rsidP="0040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755" w:rsidRDefault="00406755" w:rsidP="00406755">
      <w:pPr>
        <w:spacing w:after="0" w:line="240" w:lineRule="auto"/>
      </w:pPr>
      <w:r>
        <w:separator/>
      </w:r>
    </w:p>
  </w:footnote>
  <w:footnote w:type="continuationSeparator" w:id="0">
    <w:p w:rsidR="00406755" w:rsidRDefault="00406755" w:rsidP="00406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965"/>
    <w:multiLevelType w:val="hybridMultilevel"/>
    <w:tmpl w:val="8E54942C"/>
    <w:lvl w:ilvl="0" w:tplc="CCC6455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E0621A5"/>
    <w:multiLevelType w:val="multilevel"/>
    <w:tmpl w:val="D5C8E9D0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6E963BE4"/>
    <w:multiLevelType w:val="hybridMultilevel"/>
    <w:tmpl w:val="DD56C818"/>
    <w:lvl w:ilvl="0" w:tplc="1C205560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0801C9C"/>
    <w:multiLevelType w:val="hybridMultilevel"/>
    <w:tmpl w:val="3654B390"/>
    <w:lvl w:ilvl="0" w:tplc="1C205560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32A5978"/>
    <w:multiLevelType w:val="hybridMultilevel"/>
    <w:tmpl w:val="995E5690"/>
    <w:lvl w:ilvl="0" w:tplc="FFFFFFFF">
      <w:start w:val="4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755"/>
    <w:rsid w:val="000009EB"/>
    <w:rsid w:val="000056F5"/>
    <w:rsid w:val="00012232"/>
    <w:rsid w:val="0001391E"/>
    <w:rsid w:val="00014C28"/>
    <w:rsid w:val="0001626F"/>
    <w:rsid w:val="00016363"/>
    <w:rsid w:val="000172A0"/>
    <w:rsid w:val="000179FC"/>
    <w:rsid w:val="00021C92"/>
    <w:rsid w:val="00023D1E"/>
    <w:rsid w:val="000265CD"/>
    <w:rsid w:val="00026A2F"/>
    <w:rsid w:val="00030804"/>
    <w:rsid w:val="000336DF"/>
    <w:rsid w:val="000456A2"/>
    <w:rsid w:val="0006237D"/>
    <w:rsid w:val="0007077A"/>
    <w:rsid w:val="00076102"/>
    <w:rsid w:val="00081E7D"/>
    <w:rsid w:val="0009278B"/>
    <w:rsid w:val="000957B0"/>
    <w:rsid w:val="000972F5"/>
    <w:rsid w:val="000A0DA2"/>
    <w:rsid w:val="000A4BFA"/>
    <w:rsid w:val="000C0AD3"/>
    <w:rsid w:val="000D4465"/>
    <w:rsid w:val="000E2FF0"/>
    <w:rsid w:val="000E50F3"/>
    <w:rsid w:val="00100EB1"/>
    <w:rsid w:val="00110496"/>
    <w:rsid w:val="00111586"/>
    <w:rsid w:val="00117A6A"/>
    <w:rsid w:val="00133923"/>
    <w:rsid w:val="00140268"/>
    <w:rsid w:val="001419AF"/>
    <w:rsid w:val="0014752F"/>
    <w:rsid w:val="0015547A"/>
    <w:rsid w:val="001555AF"/>
    <w:rsid w:val="00165EF3"/>
    <w:rsid w:val="0017128F"/>
    <w:rsid w:val="00182CEF"/>
    <w:rsid w:val="001964B7"/>
    <w:rsid w:val="001A0E3E"/>
    <w:rsid w:val="001A16F2"/>
    <w:rsid w:val="001B1DF3"/>
    <w:rsid w:val="001C5E3B"/>
    <w:rsid w:val="001D5498"/>
    <w:rsid w:val="00202E91"/>
    <w:rsid w:val="0021131B"/>
    <w:rsid w:val="0021398F"/>
    <w:rsid w:val="00230B09"/>
    <w:rsid w:val="0023618B"/>
    <w:rsid w:val="002748D3"/>
    <w:rsid w:val="00276306"/>
    <w:rsid w:val="00276DAD"/>
    <w:rsid w:val="00294D2D"/>
    <w:rsid w:val="002A774D"/>
    <w:rsid w:val="002B6665"/>
    <w:rsid w:val="002C3910"/>
    <w:rsid w:val="002C50B1"/>
    <w:rsid w:val="002C58C1"/>
    <w:rsid w:val="002D7EA3"/>
    <w:rsid w:val="002E58AB"/>
    <w:rsid w:val="002F50F8"/>
    <w:rsid w:val="003038F2"/>
    <w:rsid w:val="00310385"/>
    <w:rsid w:val="0031278E"/>
    <w:rsid w:val="00313D1F"/>
    <w:rsid w:val="00336541"/>
    <w:rsid w:val="00344460"/>
    <w:rsid w:val="00353AE5"/>
    <w:rsid w:val="003543A5"/>
    <w:rsid w:val="0036253B"/>
    <w:rsid w:val="00364C72"/>
    <w:rsid w:val="003716E1"/>
    <w:rsid w:val="003745FA"/>
    <w:rsid w:val="003836CC"/>
    <w:rsid w:val="00386AD2"/>
    <w:rsid w:val="003931B9"/>
    <w:rsid w:val="003A51C9"/>
    <w:rsid w:val="003A5AB9"/>
    <w:rsid w:val="003C337B"/>
    <w:rsid w:val="003F5C1E"/>
    <w:rsid w:val="003F7645"/>
    <w:rsid w:val="004004E6"/>
    <w:rsid w:val="004050C0"/>
    <w:rsid w:val="00406755"/>
    <w:rsid w:val="00406DDA"/>
    <w:rsid w:val="00406E84"/>
    <w:rsid w:val="00410862"/>
    <w:rsid w:val="00413171"/>
    <w:rsid w:val="004205A7"/>
    <w:rsid w:val="00433BCA"/>
    <w:rsid w:val="00436618"/>
    <w:rsid w:val="00441405"/>
    <w:rsid w:val="00443A82"/>
    <w:rsid w:val="004469AE"/>
    <w:rsid w:val="00470C4D"/>
    <w:rsid w:val="00476360"/>
    <w:rsid w:val="00480F50"/>
    <w:rsid w:val="00482063"/>
    <w:rsid w:val="004A090A"/>
    <w:rsid w:val="004A2C05"/>
    <w:rsid w:val="004C2A81"/>
    <w:rsid w:val="004C7A48"/>
    <w:rsid w:val="004F3A18"/>
    <w:rsid w:val="004F65CC"/>
    <w:rsid w:val="0051123F"/>
    <w:rsid w:val="00526B17"/>
    <w:rsid w:val="00534531"/>
    <w:rsid w:val="00552A35"/>
    <w:rsid w:val="005563D9"/>
    <w:rsid w:val="00556F92"/>
    <w:rsid w:val="00557D1A"/>
    <w:rsid w:val="00563CE0"/>
    <w:rsid w:val="00566A96"/>
    <w:rsid w:val="00573197"/>
    <w:rsid w:val="00577BEE"/>
    <w:rsid w:val="005833B6"/>
    <w:rsid w:val="00592404"/>
    <w:rsid w:val="005A2FAB"/>
    <w:rsid w:val="005C7AB3"/>
    <w:rsid w:val="005D23EB"/>
    <w:rsid w:val="005F31D0"/>
    <w:rsid w:val="005F5C59"/>
    <w:rsid w:val="006053DC"/>
    <w:rsid w:val="00605445"/>
    <w:rsid w:val="0060662B"/>
    <w:rsid w:val="00611826"/>
    <w:rsid w:val="00615845"/>
    <w:rsid w:val="00623583"/>
    <w:rsid w:val="00630583"/>
    <w:rsid w:val="0063748D"/>
    <w:rsid w:val="00637925"/>
    <w:rsid w:val="00657D25"/>
    <w:rsid w:val="00660DB6"/>
    <w:rsid w:val="00671D1F"/>
    <w:rsid w:val="0067265D"/>
    <w:rsid w:val="0067777C"/>
    <w:rsid w:val="0068036D"/>
    <w:rsid w:val="00686393"/>
    <w:rsid w:val="00692D49"/>
    <w:rsid w:val="006933B1"/>
    <w:rsid w:val="006B32A9"/>
    <w:rsid w:val="006B5BE3"/>
    <w:rsid w:val="006B5F9D"/>
    <w:rsid w:val="006D3303"/>
    <w:rsid w:val="006E352C"/>
    <w:rsid w:val="0071732C"/>
    <w:rsid w:val="007202F4"/>
    <w:rsid w:val="00733765"/>
    <w:rsid w:val="00742F91"/>
    <w:rsid w:val="00747BB4"/>
    <w:rsid w:val="00750131"/>
    <w:rsid w:val="0075636F"/>
    <w:rsid w:val="00765BF8"/>
    <w:rsid w:val="00774342"/>
    <w:rsid w:val="007744FF"/>
    <w:rsid w:val="00781E1B"/>
    <w:rsid w:val="007935FC"/>
    <w:rsid w:val="00794514"/>
    <w:rsid w:val="007A22C2"/>
    <w:rsid w:val="007A2F96"/>
    <w:rsid w:val="007A447B"/>
    <w:rsid w:val="007C4CB9"/>
    <w:rsid w:val="007C72F5"/>
    <w:rsid w:val="007D14F6"/>
    <w:rsid w:val="007E6EB1"/>
    <w:rsid w:val="007F18BE"/>
    <w:rsid w:val="00813C2E"/>
    <w:rsid w:val="0081558D"/>
    <w:rsid w:val="00817924"/>
    <w:rsid w:val="00824361"/>
    <w:rsid w:val="008317BA"/>
    <w:rsid w:val="008420DC"/>
    <w:rsid w:val="00843003"/>
    <w:rsid w:val="0085027C"/>
    <w:rsid w:val="008602D3"/>
    <w:rsid w:val="0088187D"/>
    <w:rsid w:val="00890AAF"/>
    <w:rsid w:val="00892EAF"/>
    <w:rsid w:val="008939E2"/>
    <w:rsid w:val="008A7000"/>
    <w:rsid w:val="008B26EC"/>
    <w:rsid w:val="008D0AFB"/>
    <w:rsid w:val="008D7AFB"/>
    <w:rsid w:val="008E09E0"/>
    <w:rsid w:val="00905148"/>
    <w:rsid w:val="00914056"/>
    <w:rsid w:val="00914550"/>
    <w:rsid w:val="00927F7F"/>
    <w:rsid w:val="009330D7"/>
    <w:rsid w:val="009374BC"/>
    <w:rsid w:val="009434EB"/>
    <w:rsid w:val="009570B0"/>
    <w:rsid w:val="00970925"/>
    <w:rsid w:val="00971CCD"/>
    <w:rsid w:val="009B4C2C"/>
    <w:rsid w:val="009B4F5B"/>
    <w:rsid w:val="009C674B"/>
    <w:rsid w:val="009D340D"/>
    <w:rsid w:val="00A0310D"/>
    <w:rsid w:val="00A0413E"/>
    <w:rsid w:val="00A0571C"/>
    <w:rsid w:val="00A249EC"/>
    <w:rsid w:val="00A309B0"/>
    <w:rsid w:val="00A34373"/>
    <w:rsid w:val="00A42AF7"/>
    <w:rsid w:val="00A5252F"/>
    <w:rsid w:val="00A56D28"/>
    <w:rsid w:val="00A65882"/>
    <w:rsid w:val="00A677B8"/>
    <w:rsid w:val="00A76431"/>
    <w:rsid w:val="00A821CC"/>
    <w:rsid w:val="00A96605"/>
    <w:rsid w:val="00AB1097"/>
    <w:rsid w:val="00AB351A"/>
    <w:rsid w:val="00AC290F"/>
    <w:rsid w:val="00AD35DB"/>
    <w:rsid w:val="00AD3FCC"/>
    <w:rsid w:val="00AE1E24"/>
    <w:rsid w:val="00AF40EB"/>
    <w:rsid w:val="00AF7FBA"/>
    <w:rsid w:val="00B022B5"/>
    <w:rsid w:val="00B02FD7"/>
    <w:rsid w:val="00B11195"/>
    <w:rsid w:val="00B1160A"/>
    <w:rsid w:val="00B1169E"/>
    <w:rsid w:val="00B23235"/>
    <w:rsid w:val="00B26212"/>
    <w:rsid w:val="00B3023F"/>
    <w:rsid w:val="00B72ED8"/>
    <w:rsid w:val="00B73597"/>
    <w:rsid w:val="00B8504C"/>
    <w:rsid w:val="00BB3690"/>
    <w:rsid w:val="00BB7473"/>
    <w:rsid w:val="00BC4C78"/>
    <w:rsid w:val="00BD4244"/>
    <w:rsid w:val="00BD68CC"/>
    <w:rsid w:val="00BE0F9C"/>
    <w:rsid w:val="00BF065F"/>
    <w:rsid w:val="00BF5BF8"/>
    <w:rsid w:val="00C14FEC"/>
    <w:rsid w:val="00C229A5"/>
    <w:rsid w:val="00C23D38"/>
    <w:rsid w:val="00C31080"/>
    <w:rsid w:val="00C42997"/>
    <w:rsid w:val="00C55711"/>
    <w:rsid w:val="00C82828"/>
    <w:rsid w:val="00C9354A"/>
    <w:rsid w:val="00C945C1"/>
    <w:rsid w:val="00CA12CE"/>
    <w:rsid w:val="00CB587D"/>
    <w:rsid w:val="00CC4051"/>
    <w:rsid w:val="00CC4487"/>
    <w:rsid w:val="00CE66F9"/>
    <w:rsid w:val="00D00D0B"/>
    <w:rsid w:val="00D06211"/>
    <w:rsid w:val="00D07CA9"/>
    <w:rsid w:val="00D3507B"/>
    <w:rsid w:val="00D45858"/>
    <w:rsid w:val="00D54E24"/>
    <w:rsid w:val="00D73667"/>
    <w:rsid w:val="00D7507F"/>
    <w:rsid w:val="00D83849"/>
    <w:rsid w:val="00D91470"/>
    <w:rsid w:val="00DA33A1"/>
    <w:rsid w:val="00DA453F"/>
    <w:rsid w:val="00DC6F0A"/>
    <w:rsid w:val="00DD1264"/>
    <w:rsid w:val="00DF6946"/>
    <w:rsid w:val="00E14D99"/>
    <w:rsid w:val="00E3652A"/>
    <w:rsid w:val="00E639E3"/>
    <w:rsid w:val="00E710F1"/>
    <w:rsid w:val="00E920F3"/>
    <w:rsid w:val="00E92F71"/>
    <w:rsid w:val="00E94E53"/>
    <w:rsid w:val="00EA2C03"/>
    <w:rsid w:val="00EB3283"/>
    <w:rsid w:val="00EB7850"/>
    <w:rsid w:val="00EC58AE"/>
    <w:rsid w:val="00EC6B15"/>
    <w:rsid w:val="00EC75DA"/>
    <w:rsid w:val="00ED78B7"/>
    <w:rsid w:val="00EE492D"/>
    <w:rsid w:val="00EE4C64"/>
    <w:rsid w:val="00F00413"/>
    <w:rsid w:val="00F10EE1"/>
    <w:rsid w:val="00F23CEE"/>
    <w:rsid w:val="00F32818"/>
    <w:rsid w:val="00F40CF7"/>
    <w:rsid w:val="00F45784"/>
    <w:rsid w:val="00F47BC1"/>
    <w:rsid w:val="00F53C98"/>
    <w:rsid w:val="00F824DA"/>
    <w:rsid w:val="00F8533F"/>
    <w:rsid w:val="00FC0058"/>
    <w:rsid w:val="00FC722F"/>
    <w:rsid w:val="00FC746D"/>
    <w:rsid w:val="00FD62D1"/>
    <w:rsid w:val="00FE0CE3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7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755"/>
  </w:style>
  <w:style w:type="paragraph" w:styleId="a5">
    <w:name w:val="footer"/>
    <w:basedOn w:val="a"/>
    <w:link w:val="a6"/>
    <w:uiPriority w:val="99"/>
    <w:unhideWhenUsed/>
    <w:rsid w:val="004067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755"/>
  </w:style>
  <w:style w:type="table" w:styleId="a7">
    <w:name w:val="Table Grid"/>
    <w:basedOn w:val="a1"/>
    <w:uiPriority w:val="59"/>
    <w:rsid w:val="0056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6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7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755"/>
  </w:style>
  <w:style w:type="paragraph" w:styleId="a5">
    <w:name w:val="footer"/>
    <w:basedOn w:val="a"/>
    <w:link w:val="a6"/>
    <w:uiPriority w:val="99"/>
    <w:unhideWhenUsed/>
    <w:rsid w:val="004067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755"/>
  </w:style>
  <w:style w:type="table" w:styleId="a7">
    <w:name w:val="Table Grid"/>
    <w:basedOn w:val="a1"/>
    <w:uiPriority w:val="59"/>
    <w:rsid w:val="00566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6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6492</Words>
  <Characters>3702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2015-02-24T12:19:00Z</dcterms:created>
  <dcterms:modified xsi:type="dcterms:W3CDTF">2015-03-16T14:57:00Z</dcterms:modified>
</cp:coreProperties>
</file>