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D75763" w:rsidRPr="00AD74C2" w:rsidTr="00A613A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D75763" w:rsidRPr="00AD74C2" w:rsidRDefault="00D75763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D75763" w:rsidRPr="00AD74C2" w:rsidRDefault="00D75763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D75763" w:rsidRPr="00AD74C2" w:rsidRDefault="00D75763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D75763" w:rsidRPr="00AD74C2" w:rsidRDefault="00D75763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D75763" w:rsidRPr="00AD74C2" w:rsidRDefault="00D75763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D75763" w:rsidRPr="00AD74C2" w:rsidRDefault="00D75763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D75763" w:rsidRPr="00AD74C2" w:rsidRDefault="00D75763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AD74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75763" w:rsidRPr="00AD74C2" w:rsidRDefault="00D75763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D75763" w:rsidRPr="00AD74C2" w:rsidRDefault="00D75763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D75763" w:rsidRPr="00AD74C2" w:rsidRDefault="00D75763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D75763" w:rsidRPr="00AD74C2" w:rsidRDefault="00D75763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D75763" w:rsidRPr="00AD74C2" w:rsidRDefault="00D75763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AD74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D75763" w:rsidRPr="00AD74C2" w:rsidRDefault="00D75763" w:rsidP="00D75763"/>
    <w:p w:rsidR="00D75763" w:rsidRPr="00AD74C2" w:rsidRDefault="00D75763" w:rsidP="00D75763"/>
    <w:p w:rsidR="00D75763" w:rsidRPr="00AD74C2" w:rsidRDefault="00D75763" w:rsidP="00D75763">
      <w:pPr>
        <w:rPr>
          <w:b/>
        </w:rPr>
      </w:pPr>
    </w:p>
    <w:p w:rsidR="00D75763" w:rsidRPr="00AD74C2" w:rsidRDefault="00D75763" w:rsidP="00D75763">
      <w:pPr>
        <w:rPr>
          <w:b/>
        </w:rPr>
      </w:pPr>
    </w:p>
    <w:p w:rsidR="00D75763" w:rsidRPr="00AD74C2" w:rsidRDefault="00D75763" w:rsidP="00D75763">
      <w:pPr>
        <w:rPr>
          <w:b/>
        </w:rPr>
      </w:pPr>
    </w:p>
    <w:p w:rsidR="00D75763" w:rsidRPr="00AD74C2" w:rsidRDefault="00D75763" w:rsidP="00D75763">
      <w:pPr>
        <w:rPr>
          <w:b/>
        </w:rPr>
      </w:pPr>
    </w:p>
    <w:p w:rsidR="00D75763" w:rsidRPr="00AD74C2" w:rsidRDefault="00D75763" w:rsidP="00D757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AD74C2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D75763" w:rsidRPr="00AD74C2" w:rsidRDefault="00D75763" w:rsidP="00D757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763" w:rsidRPr="00AD74C2" w:rsidRDefault="00D75763" w:rsidP="00D757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D75763" w:rsidRPr="00AD74C2" w:rsidRDefault="00D75763" w:rsidP="00D75763">
      <w:pPr>
        <w:spacing w:before="120" w:after="60" w:line="240" w:lineRule="auto"/>
        <w:jc w:val="center"/>
        <w:outlineLvl w:val="2"/>
      </w:pPr>
      <w:r w:rsidRPr="00AD74C2">
        <w:rPr>
          <w:rFonts w:ascii="Times New Roman" w:eastAsia="MS Mincho" w:hAnsi="Times New Roman" w:cs="Times New Roman"/>
          <w:bCs/>
          <w:i/>
          <w:sz w:val="24"/>
          <w:szCs w:val="24"/>
          <w:lang w:eastAsia="ja-JP"/>
        </w:rPr>
        <w:t xml:space="preserve">Надання медичної допомоги хворим </w:t>
      </w:r>
      <w:r w:rsidRPr="00D75763">
        <w:rPr>
          <w:rFonts w:ascii="Times New Roman" w:hAnsi="Times New Roman" w:cs="Times New Roman"/>
          <w:i/>
          <w:sz w:val="24"/>
          <w:szCs w:val="24"/>
        </w:rPr>
        <w:t>на стриктуру сечівника.</w:t>
      </w:r>
    </w:p>
    <w:p w:rsidR="00D75763" w:rsidRPr="00AD74C2" w:rsidRDefault="00D75763" w:rsidP="00D75763"/>
    <w:p w:rsidR="00D75763" w:rsidRPr="00AD74C2" w:rsidRDefault="00D75763" w:rsidP="00D75763"/>
    <w:p w:rsidR="00D75763" w:rsidRPr="00AD74C2" w:rsidRDefault="00D75763" w:rsidP="00D75763"/>
    <w:p w:rsidR="00D75763" w:rsidRPr="00AD74C2" w:rsidRDefault="00D75763" w:rsidP="00D75763">
      <w:pPr>
        <w:rPr>
          <w:lang w:val="ru-RU"/>
        </w:rPr>
      </w:pPr>
    </w:p>
    <w:p w:rsidR="00D75763" w:rsidRPr="00AD74C2" w:rsidRDefault="00D75763" w:rsidP="00D75763">
      <w:pPr>
        <w:rPr>
          <w:lang w:val="ru-RU"/>
        </w:rPr>
      </w:pPr>
    </w:p>
    <w:p w:rsidR="00D75763" w:rsidRPr="00AD74C2" w:rsidRDefault="00D75763" w:rsidP="00D75763"/>
    <w:p w:rsidR="00D75763" w:rsidRPr="00AD74C2" w:rsidRDefault="00D75763" w:rsidP="00D75763"/>
    <w:p w:rsidR="00D75763" w:rsidRPr="00AD74C2" w:rsidRDefault="00D75763" w:rsidP="00D75763"/>
    <w:p w:rsidR="00D75763" w:rsidRPr="00AD74C2" w:rsidRDefault="00D75763" w:rsidP="00D75763"/>
    <w:p w:rsidR="00D75763" w:rsidRDefault="00D75763" w:rsidP="00D75763">
      <w:pPr>
        <w:rPr>
          <w:lang w:val="ru-RU"/>
        </w:rPr>
      </w:pPr>
    </w:p>
    <w:p w:rsidR="00D75763" w:rsidRPr="00AD74C2" w:rsidRDefault="00D75763" w:rsidP="00D75763">
      <w:pPr>
        <w:rPr>
          <w:lang w:val="ru-RU"/>
        </w:rPr>
      </w:pPr>
    </w:p>
    <w:p w:rsidR="00D75763" w:rsidRPr="00AD74C2" w:rsidRDefault="00D75763" w:rsidP="00D75763"/>
    <w:p w:rsidR="00D75763" w:rsidRDefault="00D75763" w:rsidP="00D75763"/>
    <w:p w:rsidR="00D75763" w:rsidRPr="00AD74C2" w:rsidRDefault="00D75763" w:rsidP="00D75763"/>
    <w:p w:rsidR="00D75763" w:rsidRPr="00AD74C2" w:rsidRDefault="00D75763" w:rsidP="00D75763"/>
    <w:p w:rsidR="00D75763" w:rsidRPr="00AD74C2" w:rsidRDefault="00D75763" w:rsidP="00D75763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D75763" w:rsidRPr="00B70E7B" w:rsidRDefault="00D75763" w:rsidP="00D75763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AD74C2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 w:rsidRPr="00D75763">
        <w:rPr>
          <w:rFonts w:ascii="Times New Roman" w:hAnsi="Times New Roman" w:cs="Times New Roman"/>
          <w:i/>
          <w:sz w:val="24"/>
          <w:szCs w:val="24"/>
        </w:rPr>
        <w:t>на стриктуру сечівника.</w:t>
      </w:r>
    </w:p>
    <w:p w:rsidR="00D75763" w:rsidRPr="00AD74C2" w:rsidRDefault="00D75763" w:rsidP="00D75763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</w:rPr>
        <w:t xml:space="preserve"> Шифр </w:t>
      </w:r>
      <w:r w:rsidRPr="00AD74C2">
        <w:rPr>
          <w:rFonts w:ascii="Times New Roman" w:hAnsi="Times New Roman" w:cs="Times New Roman"/>
          <w:b/>
          <w:sz w:val="24"/>
          <w:szCs w:val="24"/>
        </w:rPr>
        <w:t>МКХ -10:</w:t>
      </w:r>
      <w:r w:rsidRPr="00AD74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D7576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75763">
        <w:rPr>
          <w:rFonts w:ascii="Times New Roman" w:hAnsi="Times New Roman" w:cs="Times New Roman"/>
          <w:sz w:val="24"/>
          <w:szCs w:val="24"/>
        </w:rPr>
        <w:t xml:space="preserve"> 35.0</w:t>
      </w:r>
    </w:p>
    <w:p w:rsidR="00D75763" w:rsidRPr="00AD74C2" w:rsidRDefault="00D75763" w:rsidP="00D75763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D75763" w:rsidRPr="00AD74C2" w:rsidRDefault="00D75763" w:rsidP="00D75763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D75763" w:rsidRPr="00AD74C2" w:rsidRDefault="00D75763" w:rsidP="00D75763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D75763" w:rsidRPr="00AD74C2" w:rsidRDefault="00D75763" w:rsidP="00D75763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D75763" w:rsidRPr="00AD74C2" w:rsidTr="00A613AF">
        <w:tc>
          <w:tcPr>
            <w:tcW w:w="4851" w:type="dxa"/>
          </w:tcPr>
          <w:p w:rsidR="00D75763" w:rsidRPr="00AD74C2" w:rsidRDefault="00D75763" w:rsidP="00A6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D75763" w:rsidRPr="00AD74C2" w:rsidRDefault="00D75763" w:rsidP="00A6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D75763" w:rsidRPr="00AD74C2" w:rsidTr="00A613AF">
        <w:tc>
          <w:tcPr>
            <w:tcW w:w="4851" w:type="dxa"/>
          </w:tcPr>
          <w:p w:rsidR="00D75763" w:rsidRPr="00AD74C2" w:rsidRDefault="00D75763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Ткаченко Марія Дмитрівна</w:t>
            </w:r>
          </w:p>
        </w:tc>
        <w:tc>
          <w:tcPr>
            <w:tcW w:w="4644" w:type="dxa"/>
          </w:tcPr>
          <w:p w:rsidR="00D75763" w:rsidRPr="00AD74C2" w:rsidRDefault="00D75763" w:rsidP="00A6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Лікар-уролог</w:t>
            </w:r>
          </w:p>
        </w:tc>
      </w:tr>
    </w:tbl>
    <w:p w:rsidR="00D75763" w:rsidRPr="00AD74C2" w:rsidRDefault="00D75763" w:rsidP="00D75763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74C2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AD74C2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D75763" w:rsidRPr="00AD74C2" w:rsidRDefault="00D75763" w:rsidP="00D75763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763" w:rsidRPr="00AD74C2" w:rsidRDefault="00D75763" w:rsidP="00D75763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06.12.2004 № 604 Про затвердження клінічних протоколів за спеціальністю </w:t>
      </w:r>
      <w:r w:rsidR="00BF6DED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AD74C2">
        <w:rPr>
          <w:rFonts w:ascii="Times New Roman" w:hAnsi="Times New Roman" w:cs="Times New Roman"/>
          <w:b/>
          <w:sz w:val="24"/>
          <w:szCs w:val="24"/>
        </w:rPr>
        <w:t>Урологія</w:t>
      </w:r>
      <w:r w:rsidR="00BF6DED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bookmarkStart w:id="0" w:name="_GoBack"/>
      <w:bookmarkEnd w:id="0"/>
      <w:r w:rsidRPr="00AD74C2">
        <w:rPr>
          <w:rFonts w:ascii="Times New Roman" w:hAnsi="Times New Roman" w:cs="Times New Roman"/>
          <w:b/>
          <w:sz w:val="24"/>
          <w:szCs w:val="24"/>
        </w:rPr>
        <w:t>;</w:t>
      </w:r>
    </w:p>
    <w:p w:rsidR="00D75763" w:rsidRPr="00AD74C2" w:rsidRDefault="00D75763" w:rsidP="00D75763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D75763" w:rsidRPr="00AD74C2" w:rsidRDefault="00D75763" w:rsidP="00D75763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AD74C2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AD74C2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D75763" w:rsidRPr="00AD74C2" w:rsidRDefault="00D75763" w:rsidP="00D75763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763" w:rsidRPr="00AD74C2" w:rsidRDefault="00D75763" w:rsidP="00D75763">
      <w:pPr>
        <w:numPr>
          <w:ilvl w:val="1"/>
          <w:numId w:val="1"/>
        </w:numPr>
        <w:tabs>
          <w:tab w:val="left" w:pos="426"/>
        </w:tabs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D75763" w:rsidRPr="00AD74C2" w:rsidRDefault="00D75763" w:rsidP="00D7576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1843"/>
        <w:gridCol w:w="1417"/>
        <w:gridCol w:w="1667"/>
      </w:tblGrid>
      <w:tr w:rsidR="00D75763" w:rsidRPr="00AD74C2" w:rsidTr="00A613AF">
        <w:tc>
          <w:tcPr>
            <w:tcW w:w="1668" w:type="dxa"/>
          </w:tcPr>
          <w:p w:rsidR="00D75763" w:rsidRPr="00AD74C2" w:rsidRDefault="00D75763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260" w:type="dxa"/>
            <w:vAlign w:val="center"/>
          </w:tcPr>
          <w:p w:rsidR="00D75763" w:rsidRPr="00AD74C2" w:rsidRDefault="00D75763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843" w:type="dxa"/>
            <w:vAlign w:val="center"/>
          </w:tcPr>
          <w:p w:rsidR="00D75763" w:rsidRPr="00AD74C2" w:rsidRDefault="00D75763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D75763" w:rsidRPr="00AD74C2" w:rsidRDefault="00D75763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D75763" w:rsidRPr="00AD74C2" w:rsidRDefault="00D75763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D75763" w:rsidRPr="00AD74C2" w:rsidTr="00A613AF">
        <w:tc>
          <w:tcPr>
            <w:tcW w:w="1668" w:type="dxa"/>
          </w:tcPr>
          <w:p w:rsidR="00D75763" w:rsidRPr="00AD74C2" w:rsidRDefault="00D7576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260" w:type="dxa"/>
          </w:tcPr>
          <w:p w:rsidR="00D75763" w:rsidRPr="00AD74C2" w:rsidRDefault="00D7576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D75763" w:rsidRPr="00AD74C2" w:rsidRDefault="00D7576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63" w:rsidRPr="00AD74C2" w:rsidRDefault="00D7576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</w:t>
            </w:r>
            <w:r w:rsidR="00270FEC">
              <w:rPr>
                <w:rFonts w:ascii="Times New Roman" w:hAnsi="Times New Roman" w:cs="Times New Roman"/>
                <w:sz w:val="24"/>
                <w:szCs w:val="24"/>
              </w:rPr>
              <w:t xml:space="preserve">-урологом </w:t>
            </w: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проводиться в </w:t>
            </w:r>
            <w:r w:rsidR="00270FEC">
              <w:rPr>
                <w:rFonts w:ascii="Times New Roman" w:hAnsi="Times New Roman" w:cs="Times New Roman"/>
                <w:sz w:val="24"/>
                <w:szCs w:val="24"/>
              </w:rPr>
              <w:t>кабінеті лікаря-уролога</w:t>
            </w:r>
          </w:p>
          <w:p w:rsidR="00D75763" w:rsidRPr="00AD74C2" w:rsidRDefault="00D7576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63" w:rsidRPr="00AD74C2" w:rsidRDefault="00D7576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D75763" w:rsidRPr="00AD74C2" w:rsidRDefault="00D7576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3.Офор</w:t>
            </w:r>
            <w:r w:rsidR="00270FEC">
              <w:rPr>
                <w:rFonts w:ascii="Times New Roman" w:hAnsi="Times New Roman" w:cs="Times New Roman"/>
                <w:sz w:val="24"/>
                <w:szCs w:val="24"/>
              </w:rPr>
              <w:t>млення лікарем-урологом</w:t>
            </w: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D75763" w:rsidRPr="00AD74C2" w:rsidRDefault="00D7576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D75763" w:rsidRPr="00AD74C2" w:rsidRDefault="00D75763" w:rsidP="00A613AF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AD7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AD7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D7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75763" w:rsidRPr="00AD74C2" w:rsidRDefault="00D75763" w:rsidP="00A613AF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 xml:space="preserve">6.Оформлення фінансових </w:t>
            </w:r>
            <w:r w:rsidRPr="00AD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документів, якщо надана послуга за спец рахунком.</w:t>
            </w:r>
          </w:p>
        </w:tc>
        <w:tc>
          <w:tcPr>
            <w:tcW w:w="1843" w:type="dxa"/>
          </w:tcPr>
          <w:p w:rsidR="00D75763" w:rsidRPr="00AD74C2" w:rsidRDefault="00D7576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D75763" w:rsidRPr="00AD74C2" w:rsidRDefault="00D7576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63" w:rsidRPr="00AD74C2" w:rsidRDefault="00D7576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63" w:rsidRPr="00AD74C2" w:rsidRDefault="00D7576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63" w:rsidRPr="00AD74C2" w:rsidRDefault="00D7576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63" w:rsidRPr="00AD74C2" w:rsidRDefault="00D7576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63" w:rsidRPr="00AD74C2" w:rsidRDefault="00D7576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63" w:rsidRPr="00AD74C2" w:rsidRDefault="00D7576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63" w:rsidRPr="00AD74C2" w:rsidRDefault="00D7576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63" w:rsidRPr="00AD74C2" w:rsidRDefault="00D7576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63" w:rsidRPr="00AD74C2" w:rsidRDefault="00D7576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63" w:rsidRPr="00AD74C2" w:rsidRDefault="00D7576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63" w:rsidRPr="00AD74C2" w:rsidRDefault="00D7576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63" w:rsidRPr="00AD74C2" w:rsidRDefault="00D7576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AD74C2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D75763" w:rsidRPr="00AD74C2" w:rsidRDefault="00D7576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5763" w:rsidRPr="00AD74C2" w:rsidRDefault="00D7576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D75763" w:rsidRPr="00AD74C2" w:rsidRDefault="00D7576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D75763" w:rsidRPr="00AD74C2" w:rsidRDefault="00D7576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63" w:rsidRPr="00AD74C2" w:rsidRDefault="00D7576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63" w:rsidRPr="00AD74C2" w:rsidRDefault="00D7576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63" w:rsidRPr="00AD74C2" w:rsidRDefault="00D7576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63" w:rsidRPr="00AD74C2" w:rsidRDefault="00D7576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63" w:rsidRPr="00AD74C2" w:rsidRDefault="00D7576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63" w:rsidRPr="00AD74C2" w:rsidRDefault="00D7576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63" w:rsidRPr="00AD74C2" w:rsidRDefault="00D7576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63" w:rsidRPr="00AD74C2" w:rsidRDefault="00D7576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63" w:rsidRPr="00AD74C2" w:rsidRDefault="00D7576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63" w:rsidRPr="00AD74C2" w:rsidRDefault="00D7576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63" w:rsidRPr="00AD74C2" w:rsidRDefault="00D7576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63" w:rsidRPr="00AD74C2" w:rsidRDefault="00D7576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Лікар-уролог</w:t>
            </w:r>
          </w:p>
          <w:p w:rsidR="00D75763" w:rsidRPr="00AD74C2" w:rsidRDefault="00D7576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Ткаченко М.Д.</w:t>
            </w:r>
          </w:p>
          <w:p w:rsidR="00D75763" w:rsidRPr="00AD74C2" w:rsidRDefault="00D7576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763" w:rsidRPr="00AD74C2" w:rsidRDefault="00D7576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D75763" w:rsidRPr="00AD74C2" w:rsidRDefault="00D7576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63" w:rsidRPr="00AD74C2" w:rsidRDefault="00D7576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D75763" w:rsidRPr="00AD74C2" w:rsidRDefault="00D7576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Наявність локального протоколу у лікаря.</w:t>
            </w:r>
          </w:p>
          <w:p w:rsidR="00D75763" w:rsidRPr="00AD74C2" w:rsidRDefault="00D7576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AD7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D75763" w:rsidRPr="00AD74C2" w:rsidTr="00A613AF">
        <w:tc>
          <w:tcPr>
            <w:tcW w:w="1668" w:type="dxa"/>
          </w:tcPr>
          <w:p w:rsidR="00D75763" w:rsidRPr="00AD74C2" w:rsidRDefault="00D7576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260" w:type="dxa"/>
          </w:tcPr>
          <w:p w:rsidR="00D75763" w:rsidRPr="00D75763" w:rsidRDefault="00D75763" w:rsidP="00D75763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При опитуванні виявляють характерні скарги, наявність в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анамнезіпошкодження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сечівника, кісток тазу,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уретрорагії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гонорейного уретриту. При огляді виявляють мацерацію шкіри статевого члену, калитки, стегна, норицевий хід на промежині. Па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ль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па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ція сечівника до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з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во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ляє вия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 xml:space="preserve">вити наявність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н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гі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фі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б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ро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за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При введенні бужа в сечівник виявляють локалізацію стриктури. Виконують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калібровку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сечівника для виявлення ступеня звуження. Використовують буж №10 за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Шар’єром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 Якщо буж не проходить та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сечопуск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здійснюється дуже тонким струменем, то слід робити операцію. Для діагностики звуження сечівника застосовують уретроскопію, низхідну, висхідну, та зустрічну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уретрографію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На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уретрограмах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спостерігається зображення звужених і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облітерованих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ділянок сечівника. Можна визначити їх розміри, характер і локалізацію, а також стан ділянки сечівника за звуженням. Під час висхідної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уретрографії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може виникати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уретровенозний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рефлюкс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серйозними ускладненнями. Для встановлення ступеня обструкції проводять спрощену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урофлоуметрію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(вираховують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урофлоуметрічний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індекс шляхом розділення кількості виділеної сечі на час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сечопуску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). При наявності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уретро-промежинних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нориць виконують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фістулографію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(виявляють розташування ходів та їх довжину). </w:t>
            </w:r>
          </w:p>
        </w:tc>
        <w:tc>
          <w:tcPr>
            <w:tcW w:w="1843" w:type="dxa"/>
          </w:tcPr>
          <w:p w:rsidR="00D75763" w:rsidRPr="00AD74C2" w:rsidRDefault="00D7576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63" w:rsidRPr="00AD74C2" w:rsidRDefault="00D7576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63" w:rsidRPr="00AD74C2" w:rsidRDefault="00D7576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63" w:rsidRPr="00AD74C2" w:rsidRDefault="00D7576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63" w:rsidRPr="00AD74C2" w:rsidRDefault="00D7576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5763" w:rsidRPr="00AD74C2" w:rsidRDefault="00D7576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Лікар-уролог</w:t>
            </w:r>
          </w:p>
          <w:p w:rsidR="00D75763" w:rsidRPr="00AD74C2" w:rsidRDefault="00D7576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Ткаченко М.Д.</w:t>
            </w:r>
          </w:p>
          <w:p w:rsidR="00D75763" w:rsidRPr="00AD74C2" w:rsidRDefault="00D7576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763" w:rsidRPr="00AD74C2" w:rsidRDefault="00D7576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D75763" w:rsidRPr="00AD74C2" w:rsidRDefault="00D7576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D75763" w:rsidRPr="00AD74C2" w:rsidTr="00A613AF">
        <w:tc>
          <w:tcPr>
            <w:tcW w:w="1668" w:type="dxa"/>
          </w:tcPr>
          <w:p w:rsidR="00D75763" w:rsidRPr="00AD74C2" w:rsidRDefault="00D7576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Лікування</w:t>
            </w:r>
          </w:p>
        </w:tc>
        <w:tc>
          <w:tcPr>
            <w:tcW w:w="3260" w:type="dxa"/>
          </w:tcPr>
          <w:p w:rsidR="00D75763" w:rsidRPr="00D75763" w:rsidRDefault="00D75763" w:rsidP="00D75763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хворих з стри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к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ту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ра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 xml:space="preserve">ми сечівника повинно бути індивідуальним, з урахуванням анатомічних  особливостей  стриктури, стану та віку хворого. При компенсованій стриктурі потрібно проводити контрольний огляд 1 раз на рік, при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субкомпесованій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– періодичне консервативне лікування (антибактеріальну та протизапальну терапію,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ензимо-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гормонотерапію,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бужування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сечівника, балонну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ділятацію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стриктур, фізіотерапію). При некомпенсованій стриктурі  виконується реконструктивна операція на сечівнику.</w:t>
            </w:r>
          </w:p>
          <w:p w:rsidR="00D75763" w:rsidRPr="00D75763" w:rsidRDefault="00D75763" w:rsidP="00D75763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Бужування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проводять при звуженні сечівника невеликої довжини. Виконують його послідовно, протягом декількох тижнів, збільшуючи номер бужа на 2-4 одиниці до максимальних значень 24-26 за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Шар’єром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Перед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бужуванням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сечівник необхідно знеболити. Для цього використовують різні гелі з анестезуючими та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бактеріцидними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властивостями (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Інстилягель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Катеджель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Нефлуан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). Бужі проводять вільно та залишають в сечівнику спочатку на 5-10, а потім – на 15-20 хвилин. Наступне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бужування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проводять через 2-5 діб починаючи з проведення бужа того розміру, що вводили в останній раз. За один прийом не слід проводити більше двох бужів, які проходять звуження через силу (загроза значних розривів, які посилюють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рубцевання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). Добрий результат очікується, якщо вдається розширити сечівник до бужа № 20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Сh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При значному звуженні не 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завжди вдається ввести в сечівник металевий буж. У такому випадку вводять пучок ниткоподібних бужів-провідників і по черзі пробують провести один із них у сечовий міхур. До проведеного бужа приєднують металевий буж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Лефора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конічним кінцем (чи катетер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Філіпса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) і за допомогою провідника проводять його через звужену ділянку. Також  застосовують балонну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ділятацію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стриктур сечівника. Для цього використовують катетер з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балоном-ділятатором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який по струні під візуальним контролем заводять в зону стриктури. Проводять антибактеріальну (згідно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антибіотикограми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сечі) та протизапальну терапію (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метилурацил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0,25-0,5г 3 рази на день після їжі).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Бу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жування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сечівника поєднують з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ензимотерапією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лі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да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за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 та го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р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мо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но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те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ра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пією (ко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р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ти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зон, гі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д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ро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ко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р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ти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зон), фі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зі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те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ра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пією (еле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к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т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ро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фо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рез, ді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а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те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р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мія, галь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ва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ні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за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ція, ма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г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ні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то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те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ра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 xml:space="preserve">пія,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но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фо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рез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),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лої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до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те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ра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пі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єю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Бу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жу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ва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ння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сечівника дає лише тимчасовий ефект. Припинення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бу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жу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ва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ння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завжди веде до ре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ци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ди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ву стри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к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ту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ри. Одужання на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с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ту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пає при ру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б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ці ті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ль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 xml:space="preserve">ки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сли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нового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шару сечівника без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н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гі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фі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б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ро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зу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Тому стрик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ту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ри сечівника великої довжини та його об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лі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те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ра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ції вимагають опера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ти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в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ного лі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кування.</w:t>
            </w:r>
          </w:p>
          <w:p w:rsidR="00D75763" w:rsidRPr="00D75763" w:rsidRDefault="00D75763" w:rsidP="00D75763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  Вну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т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 xml:space="preserve">рішня оптична уретротомія показана при коротких та клапанних стриктурах з мінімальним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н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гі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фі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б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ро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зом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(особливо після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простатектомії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), а також при наявності 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протипоказань  до радикального лікування. При цьому необхідно провести повне розсічення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н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гі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фі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б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ро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зу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під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леглого не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з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мі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нен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го гу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б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час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то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го ті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ла та висікти рубці. Якщо після першої про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це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ду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ри  стри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к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ту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ра залишається, але стає мен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шої довжини, мо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жливо про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ведення по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в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торного її розсічення. Якщо вона залишається без з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мі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н або збільшується, не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б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хі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дно про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ведення від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к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ритої ре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ко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н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с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т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ру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к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 xml:space="preserve">ції сечівника. Після видалення уретрального катетера треба проводити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бужування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: протягом  1 місяця 1 раз на тиждень, 2-3 місяця 1 раз на 2 тижня, 4-6 місяця 1 раз на місяць, 7-8 місяця 1 раз на 2 місяця, 9-11-го місяця 1 раз на 3 місяця. Максимальний ефект дає поєднання двох сучасних методик: внутрішньої оптичної уретротомії та встановлення уретрального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стента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При стриктурах сечівника також застосовують лазерну вапоризацію рубців.</w:t>
            </w:r>
          </w:p>
          <w:p w:rsidR="00D75763" w:rsidRPr="00D75763" w:rsidRDefault="00D75763" w:rsidP="00D75763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            Стри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к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ту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 xml:space="preserve">ра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м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б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ра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но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з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но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го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відділу сечівника після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тра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н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су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ре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т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раль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ної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ре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зек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ції передміхурової за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ло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зи зустрічається  ча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с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то. У та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ких випадках па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цієнт утримує сечу ті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ль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ки за рахунок ме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ха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ні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з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му ди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с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та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ль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но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го сфі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н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к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те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ра. При вну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т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ріш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ній оп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ти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чній уретро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то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мії та від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к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ри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тій ре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ко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н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с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т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ру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к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ції практично завжди пошкоджується цей сфі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н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к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тер. Тому у таких хворих ме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то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дом ви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бо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 xml:space="preserve">ру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повина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бути балонна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ді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лята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ція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стри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к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ту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ри.</w:t>
            </w:r>
          </w:p>
          <w:p w:rsidR="00D75763" w:rsidRPr="00D75763" w:rsidRDefault="00D75763" w:rsidP="00D75763">
            <w:pPr>
              <w:rPr>
                <w:lang w:val="ru-RU" w:eastAsia="uk-UA"/>
              </w:rPr>
            </w:pP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            Ра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ди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ка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ль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ним ме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то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дом лікування стри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к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ту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ри сечівника є резек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ція його зву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жено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го се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г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ме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н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 xml:space="preserve">та. Невелику за довжиною 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стриктуру в губчастій частині сечівника видаляють за методом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Кліна-Хольцова-Маріона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велику – за методом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Сесіl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тотальну – за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Русаковим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. При звуженні передміхурової частини сечівника виконують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уретроуретроанастомоз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 методом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Русакова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або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уретроцистоанастомоз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шляхом інвагінації сечівника в шийку сечового міхура за методом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Соловова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Бі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ль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шість ре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ко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н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с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т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ру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к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ти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в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них опе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ра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цій виконують за один етап, але інколи (тя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 xml:space="preserve">жкий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н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гі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фі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б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роз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нестача добре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ва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с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ку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ля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ри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зо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ван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ої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тка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нини, наявність нориці та ін.) використовують багатоетапний пі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д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хід. Часто для ре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ко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н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с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т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рук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ції сечівника застосовують життєздатні тка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нини статевих ор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га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 xml:space="preserve">нів. При часткових звуженнях сечівника можна викроїти сегмент, якого бракує, із шкіри калитки чи промежини, заднього відділу – із стінки сечового міхура. Клапті з шкіри калитки на широкій основі можна застосувати й при масивних облітераціях сечівника. 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</w:r>
          </w:p>
        </w:tc>
        <w:tc>
          <w:tcPr>
            <w:tcW w:w="1843" w:type="dxa"/>
          </w:tcPr>
          <w:p w:rsidR="00D75763" w:rsidRPr="00AD74C2" w:rsidRDefault="00D75763" w:rsidP="00A61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5763" w:rsidRPr="00AD74C2" w:rsidRDefault="00D7576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Лікар-уролог</w:t>
            </w:r>
          </w:p>
          <w:p w:rsidR="00D75763" w:rsidRPr="00AD74C2" w:rsidRDefault="00D7576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Ткаченко М.Д.</w:t>
            </w:r>
          </w:p>
          <w:p w:rsidR="00D75763" w:rsidRPr="00AD74C2" w:rsidRDefault="00D7576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5763" w:rsidRPr="00AD74C2" w:rsidRDefault="00D7576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D75763" w:rsidRPr="00AD74C2" w:rsidRDefault="00D75763" w:rsidP="00D75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763" w:rsidRPr="00AD74C2" w:rsidTr="00A613AF">
        <w:tc>
          <w:tcPr>
            <w:tcW w:w="1668" w:type="dxa"/>
          </w:tcPr>
          <w:p w:rsidR="00D75763" w:rsidRPr="00AD74C2" w:rsidRDefault="00D7576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Реабілітація</w:t>
            </w:r>
          </w:p>
        </w:tc>
        <w:tc>
          <w:tcPr>
            <w:tcW w:w="3260" w:type="dxa"/>
          </w:tcPr>
          <w:p w:rsidR="00D75763" w:rsidRPr="00AD74C2" w:rsidRDefault="00D75763" w:rsidP="00A613AF">
            <w:pPr>
              <w:tabs>
                <w:tab w:val="num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763">
              <w:rPr>
                <w:rFonts w:ascii="Times New Roman" w:hAnsi="Times New Roman" w:cs="Times New Roman"/>
                <w:sz w:val="24"/>
                <w:szCs w:val="24"/>
              </w:rPr>
              <w:t>На перші 6-8 місяців з початку лікування хворого слід звільнити від важкої фізичної праці.  Протягом  місяця після операції хворим забороняється сідати, в подальшому дозволяється сідати на тверді стільці на одну сідницю. Статеве життя забороняється на 2-3 місяці, а іноді і більший термін. Верхова їзда (на коні, велосипеді, мотоциклі) забороняється на все життя.</w:t>
            </w:r>
          </w:p>
        </w:tc>
        <w:tc>
          <w:tcPr>
            <w:tcW w:w="1843" w:type="dxa"/>
          </w:tcPr>
          <w:p w:rsidR="00D75763" w:rsidRPr="00AD74C2" w:rsidRDefault="00D7576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5763" w:rsidRPr="00AD74C2" w:rsidRDefault="00D7576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D75763" w:rsidRPr="00AD74C2" w:rsidRDefault="00D75763" w:rsidP="00A613AF">
            <w:pPr>
              <w:tabs>
                <w:tab w:val="left" w:pos="34"/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D75763" w:rsidRPr="00AD74C2" w:rsidTr="00A613AF">
        <w:trPr>
          <w:trHeight w:val="212"/>
        </w:trPr>
        <w:tc>
          <w:tcPr>
            <w:tcW w:w="1668" w:type="dxa"/>
          </w:tcPr>
          <w:p w:rsidR="00D75763" w:rsidRPr="00AD74C2" w:rsidRDefault="00D7576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260" w:type="dxa"/>
          </w:tcPr>
          <w:p w:rsidR="00D75763" w:rsidRPr="00D75763" w:rsidRDefault="00D75763" w:rsidP="00D757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Потребує диспансерного нагляду 1 раз на 3 місяці протягом першого року, 2 рази на рік протягом 2 року, 1 раз на рік протягом 3-го </w:t>
            </w: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року в обсязі: огляд уролога, загальний аналіз крові, загальний аналіз сечі, </w:t>
            </w:r>
            <w:r w:rsidRPr="00D757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бактеріологічне дослідження сечі з </w:t>
            </w:r>
            <w:proofErr w:type="spellStart"/>
            <w:r w:rsidRPr="00D757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антибіотикограмою</w:t>
            </w:r>
            <w:proofErr w:type="spellEnd"/>
            <w:r w:rsidRPr="00D757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визначення рівня </w:t>
            </w:r>
            <w:proofErr w:type="spellStart"/>
            <w:r w:rsidRPr="00D757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креатиніну</w:t>
            </w:r>
            <w:proofErr w:type="spellEnd"/>
            <w:r w:rsidRPr="00D757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плазми крові,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урофлоуметрія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УЗД нирок, сечового міхура з визначенням кількості залишкової сечі,</w:t>
            </w:r>
            <w:r w:rsidRPr="00D757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757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калібровка</w:t>
            </w:r>
            <w:proofErr w:type="spellEnd"/>
            <w:r w:rsidRPr="00D757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сечівника бужами, за потребою - </w:t>
            </w:r>
            <w:proofErr w:type="spellStart"/>
            <w:r w:rsidRPr="00D757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уретрографія</w:t>
            </w:r>
            <w:proofErr w:type="spellEnd"/>
            <w:r w:rsidRPr="00D757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D75763" w:rsidRPr="00D75763" w:rsidRDefault="00D75763" w:rsidP="00D75763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Критерії зняття з диспансерного обліку: збереження протягом трьох років вільного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сечопуску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відсутність порушень функції сечовивідних органів, збереження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урофлоуметричного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індексу більше 10 </w:t>
            </w:r>
            <w:proofErr w:type="spellStart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мл</w:t>
            </w:r>
            <w:proofErr w:type="spellEnd"/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/с.</w:t>
            </w:r>
          </w:p>
          <w:p w:rsidR="00D75763" w:rsidRPr="00D75763" w:rsidRDefault="00D75763" w:rsidP="00D75763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uk-UA"/>
              </w:rPr>
            </w:pPr>
            <w:r w:rsidRPr="00D75763">
              <w:rPr>
                <w:rFonts w:ascii="Times New Roman" w:hAnsi="Times New Roman" w:cs="Times New Roman"/>
                <w:sz w:val="24"/>
                <w:szCs w:val="24"/>
                <w:u w:val="single"/>
                <w:lang w:eastAsia="uk-UA"/>
              </w:rPr>
              <w:t>Вимоги до дієтичних призначень і обмежень</w:t>
            </w:r>
          </w:p>
          <w:p w:rsidR="00D75763" w:rsidRPr="00D75763" w:rsidRDefault="00D75763" w:rsidP="00D75763">
            <w:pPr>
              <w:rPr>
                <w:lang w:eastAsia="uk-UA"/>
              </w:rPr>
            </w:pPr>
            <w:r w:rsidRPr="00D7576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Дієтичні призначення і обмеження – слід відмовитись від прийому алкоголю, обмежити гострі, солені, копчені страви, прянощі. Перші півроку після операції рекомендується вживання збільшеної кількості рідини, періодичний прийом легких сечогінних зборів.</w:t>
            </w:r>
          </w:p>
        </w:tc>
        <w:tc>
          <w:tcPr>
            <w:tcW w:w="1843" w:type="dxa"/>
          </w:tcPr>
          <w:p w:rsidR="00D75763" w:rsidRPr="00AD74C2" w:rsidRDefault="00D7576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5763" w:rsidRPr="00AD74C2" w:rsidRDefault="00D7576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763" w:rsidRPr="00AD74C2" w:rsidRDefault="00D75763" w:rsidP="00A61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D75763" w:rsidRPr="00AD74C2" w:rsidRDefault="00D7576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487" w:rsidRDefault="00CC4487"/>
    <w:sectPr w:rsidR="00CC4487" w:rsidSect="00EA3F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621A5"/>
    <w:multiLevelType w:val="multilevel"/>
    <w:tmpl w:val="D5C8E9D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5763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6237D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0FEC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0925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BF6DED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75763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94E53"/>
    <w:rsid w:val="00EA2C03"/>
    <w:rsid w:val="00EA3FCE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6418</Words>
  <Characters>3659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2015-02-24T14:21:00Z</dcterms:created>
  <dcterms:modified xsi:type="dcterms:W3CDTF">2015-03-16T14:56:00Z</dcterms:modified>
</cp:coreProperties>
</file>