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3D6770" w:rsidRPr="00F70031" w:rsidTr="00A613A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3D6770" w:rsidRPr="00F70031" w:rsidRDefault="003D6770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3D6770" w:rsidRPr="00F70031" w:rsidRDefault="003D6770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3D6770" w:rsidRPr="00F70031" w:rsidRDefault="003D6770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3D6770" w:rsidRPr="00F70031" w:rsidRDefault="003D6770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3D6770" w:rsidRPr="00F70031" w:rsidRDefault="003D6770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3D6770" w:rsidRPr="00F70031" w:rsidRDefault="003D6770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3D6770" w:rsidRPr="00F70031" w:rsidRDefault="003D6770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D6770" w:rsidRPr="00F70031" w:rsidRDefault="003D6770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3D6770" w:rsidRPr="00F70031" w:rsidRDefault="003D6770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3D6770" w:rsidRPr="00F70031" w:rsidRDefault="003D6770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3D6770" w:rsidRPr="00F70031" w:rsidRDefault="003D6770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3D6770" w:rsidRPr="00F70031" w:rsidRDefault="003D6770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3D6770" w:rsidRPr="00F70031" w:rsidRDefault="003D6770" w:rsidP="003D6770"/>
    <w:p w:rsidR="003D6770" w:rsidRPr="00F70031" w:rsidRDefault="003D6770" w:rsidP="003D6770"/>
    <w:p w:rsidR="003D6770" w:rsidRPr="00F70031" w:rsidRDefault="003D6770" w:rsidP="003D6770">
      <w:pPr>
        <w:rPr>
          <w:b/>
        </w:rPr>
      </w:pPr>
    </w:p>
    <w:p w:rsidR="003D6770" w:rsidRPr="00F70031" w:rsidRDefault="003D6770" w:rsidP="003D6770">
      <w:pPr>
        <w:rPr>
          <w:b/>
        </w:rPr>
      </w:pPr>
    </w:p>
    <w:p w:rsidR="003D6770" w:rsidRPr="00F70031" w:rsidRDefault="003D6770" w:rsidP="003D6770">
      <w:pPr>
        <w:rPr>
          <w:b/>
        </w:rPr>
      </w:pPr>
    </w:p>
    <w:p w:rsidR="003D6770" w:rsidRPr="00F70031" w:rsidRDefault="003D6770" w:rsidP="003D6770">
      <w:pPr>
        <w:rPr>
          <w:b/>
        </w:rPr>
      </w:pPr>
    </w:p>
    <w:p w:rsidR="003D6770" w:rsidRPr="00F70031" w:rsidRDefault="003D6770" w:rsidP="003D6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F70031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3D6770" w:rsidRPr="00F70031" w:rsidRDefault="003D6770" w:rsidP="003D67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770" w:rsidRPr="00F70031" w:rsidRDefault="003D6770" w:rsidP="003D6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3D6770" w:rsidRPr="002661E4" w:rsidRDefault="003D6770" w:rsidP="003D6770">
      <w:pPr>
        <w:spacing w:before="120" w:after="60" w:line="240" w:lineRule="auto"/>
        <w:jc w:val="center"/>
        <w:outlineLvl w:val="2"/>
        <w:rPr>
          <w:rFonts w:ascii="Times New Roman" w:eastAsia="MS Mincho" w:hAnsi="Times New Roman" w:cs="Times New Roman"/>
          <w:i/>
          <w:caps/>
          <w:sz w:val="24"/>
          <w:szCs w:val="24"/>
          <w:lang w:val="ru-RU" w:eastAsia="ja-JP"/>
        </w:rPr>
      </w:pPr>
      <w:r w:rsidRPr="00F70031">
        <w:rPr>
          <w:rFonts w:ascii="Times New Roman" w:eastAsia="MS Mincho" w:hAnsi="Times New Roman" w:cs="Times New Roman"/>
          <w:bCs/>
          <w:i/>
          <w:sz w:val="24"/>
          <w:szCs w:val="24"/>
          <w:lang w:eastAsia="ja-JP"/>
        </w:rPr>
        <w:t xml:space="preserve">Надання медичної допомоги хворим 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на </w:t>
      </w:r>
      <w:r w:rsidR="007F655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неспецифічний уретрит.</w:t>
      </w:r>
    </w:p>
    <w:p w:rsidR="003D6770" w:rsidRPr="00F70031" w:rsidRDefault="003D6770" w:rsidP="003D6770"/>
    <w:p w:rsidR="003D6770" w:rsidRPr="00F70031" w:rsidRDefault="003D6770" w:rsidP="003D6770"/>
    <w:p w:rsidR="003D6770" w:rsidRPr="00F70031" w:rsidRDefault="003D6770" w:rsidP="003D6770"/>
    <w:p w:rsidR="003D6770" w:rsidRPr="00F70031" w:rsidRDefault="003D6770" w:rsidP="003D6770"/>
    <w:p w:rsidR="003D6770" w:rsidRPr="00F70031" w:rsidRDefault="003D6770" w:rsidP="003D6770"/>
    <w:p w:rsidR="003D6770" w:rsidRPr="00F70031" w:rsidRDefault="003D6770" w:rsidP="003D6770">
      <w:pPr>
        <w:rPr>
          <w:lang w:val="ru-RU"/>
        </w:rPr>
      </w:pPr>
    </w:p>
    <w:p w:rsidR="003D6770" w:rsidRPr="00F70031" w:rsidRDefault="003D6770" w:rsidP="003D6770">
      <w:pPr>
        <w:rPr>
          <w:lang w:val="ru-RU"/>
        </w:rPr>
      </w:pPr>
    </w:p>
    <w:p w:rsidR="003D6770" w:rsidRPr="00F70031" w:rsidRDefault="003D6770" w:rsidP="003D6770"/>
    <w:p w:rsidR="003D6770" w:rsidRPr="00F70031" w:rsidRDefault="003D6770" w:rsidP="003D6770"/>
    <w:p w:rsidR="003D6770" w:rsidRPr="00F70031" w:rsidRDefault="003D6770" w:rsidP="003D6770"/>
    <w:p w:rsidR="003D6770" w:rsidRPr="00F70031" w:rsidRDefault="003D6770" w:rsidP="003D6770"/>
    <w:p w:rsidR="003D6770" w:rsidRPr="00F70031" w:rsidRDefault="003D6770" w:rsidP="003D6770"/>
    <w:p w:rsidR="003D6770" w:rsidRPr="00F70031" w:rsidRDefault="003D6770" w:rsidP="003D6770"/>
    <w:p w:rsidR="003D6770" w:rsidRPr="00F70031" w:rsidRDefault="003D6770" w:rsidP="003D6770"/>
    <w:p w:rsidR="003D6770" w:rsidRPr="00F70031" w:rsidRDefault="003D6770" w:rsidP="003D6770"/>
    <w:p w:rsidR="003D6770" w:rsidRPr="00F70031" w:rsidRDefault="003D6770" w:rsidP="003D6770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3D6770" w:rsidRPr="00F70031" w:rsidRDefault="003D6770" w:rsidP="003D6770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F70031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</w:t>
      </w:r>
      <w:r w:rsidRPr="001E518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на </w:t>
      </w:r>
      <w:r w:rsidR="007F6556">
        <w:rPr>
          <w:rFonts w:ascii="Times New Roman" w:hAnsi="Times New Roman" w:cs="Times New Roman"/>
          <w:i/>
          <w:sz w:val="24"/>
        </w:rPr>
        <w:t>неспецифічний уретрит.</w:t>
      </w:r>
    </w:p>
    <w:p w:rsidR="003D6770" w:rsidRDefault="003D6770" w:rsidP="003D6770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rPr>
          <w:rFonts w:ascii="Times New Roman" w:hAnsi="Times New Roman" w:cs="Times New Roman"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</w:rPr>
        <w:t xml:space="preserve"> Шифр </w:t>
      </w:r>
      <w:r w:rsidRPr="00F70031">
        <w:rPr>
          <w:rFonts w:ascii="Times New Roman" w:hAnsi="Times New Roman" w:cs="Times New Roman"/>
          <w:b/>
          <w:sz w:val="24"/>
          <w:szCs w:val="24"/>
        </w:rPr>
        <w:t>МКХ -10: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50F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6770">
        <w:rPr>
          <w:rFonts w:ascii="Times New Roman" w:hAnsi="Times New Roman" w:cs="Times New Roman"/>
          <w:sz w:val="24"/>
          <w:szCs w:val="24"/>
        </w:rPr>
        <w:t>34/1</w:t>
      </w:r>
    </w:p>
    <w:p w:rsidR="003D6770" w:rsidRPr="00F70031" w:rsidRDefault="003D6770" w:rsidP="003D6770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3D6770" w:rsidRPr="00F70031" w:rsidRDefault="003D6770" w:rsidP="003D6770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3D6770" w:rsidRPr="00F70031" w:rsidRDefault="003D6770" w:rsidP="003D6770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3D6770" w:rsidRPr="00F70031" w:rsidRDefault="003D6770" w:rsidP="003D6770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3D6770" w:rsidRPr="00F70031" w:rsidTr="00A613AF">
        <w:tc>
          <w:tcPr>
            <w:tcW w:w="4851" w:type="dxa"/>
          </w:tcPr>
          <w:p w:rsidR="003D6770" w:rsidRPr="00F70031" w:rsidRDefault="003D6770" w:rsidP="00A6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3D6770" w:rsidRPr="00F70031" w:rsidRDefault="003D6770" w:rsidP="00A6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3D6770" w:rsidRPr="00F70031" w:rsidTr="00A613AF">
        <w:tc>
          <w:tcPr>
            <w:tcW w:w="4851" w:type="dxa"/>
          </w:tcPr>
          <w:p w:rsidR="003D6770" w:rsidRPr="00F70031" w:rsidRDefault="003D6770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Ткаченко Марія Дмитрівна</w:t>
            </w:r>
          </w:p>
        </w:tc>
        <w:tc>
          <w:tcPr>
            <w:tcW w:w="4644" w:type="dxa"/>
          </w:tcPr>
          <w:p w:rsidR="003D6770" w:rsidRPr="00F70031" w:rsidRDefault="003D6770" w:rsidP="003D6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Лікар-уролог</w:t>
            </w:r>
          </w:p>
        </w:tc>
      </w:tr>
    </w:tbl>
    <w:p w:rsidR="003D6770" w:rsidRPr="00F70031" w:rsidRDefault="003D6770" w:rsidP="003D6770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0031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F70031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3D6770" w:rsidRPr="00F70031" w:rsidRDefault="003D6770" w:rsidP="003D6770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6770" w:rsidRPr="003D6770" w:rsidRDefault="003D6770" w:rsidP="003D6770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770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06.12.2004 № 604 Про затвердження клінічних протоколів за спеціальністю </w:t>
      </w:r>
      <w:r w:rsidR="007327F0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3D6770">
        <w:rPr>
          <w:rFonts w:ascii="Times New Roman" w:hAnsi="Times New Roman" w:cs="Times New Roman"/>
          <w:b/>
          <w:sz w:val="24"/>
          <w:szCs w:val="24"/>
        </w:rPr>
        <w:t>Урологія</w:t>
      </w:r>
      <w:r w:rsidR="007327F0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bookmarkStart w:id="0" w:name="_GoBack"/>
      <w:bookmarkEnd w:id="0"/>
      <w:r w:rsidRPr="003D6770">
        <w:rPr>
          <w:rFonts w:ascii="Times New Roman" w:hAnsi="Times New Roman" w:cs="Times New Roman"/>
          <w:b/>
          <w:sz w:val="24"/>
          <w:szCs w:val="24"/>
        </w:rPr>
        <w:t>;</w:t>
      </w:r>
    </w:p>
    <w:p w:rsidR="003D6770" w:rsidRPr="00F70031" w:rsidRDefault="003D6770" w:rsidP="003D6770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3D6770" w:rsidRPr="00F70031" w:rsidRDefault="003D6770" w:rsidP="003D6770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F70031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F70031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3D6770" w:rsidRPr="00F70031" w:rsidRDefault="003D6770" w:rsidP="003D6770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6770" w:rsidRPr="00F70031" w:rsidRDefault="003D6770" w:rsidP="003D6770">
      <w:pPr>
        <w:numPr>
          <w:ilvl w:val="1"/>
          <w:numId w:val="1"/>
        </w:numPr>
        <w:tabs>
          <w:tab w:val="left" w:pos="426"/>
        </w:tabs>
        <w:spacing w:after="0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3D6770" w:rsidRPr="00F70031" w:rsidRDefault="003D6770" w:rsidP="003D677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1843"/>
        <w:gridCol w:w="1417"/>
        <w:gridCol w:w="1667"/>
      </w:tblGrid>
      <w:tr w:rsidR="003D6770" w:rsidRPr="00F70031" w:rsidTr="00A613AF">
        <w:tc>
          <w:tcPr>
            <w:tcW w:w="1668" w:type="dxa"/>
          </w:tcPr>
          <w:p w:rsidR="003D6770" w:rsidRPr="00F70031" w:rsidRDefault="003D6770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260" w:type="dxa"/>
            <w:vAlign w:val="center"/>
          </w:tcPr>
          <w:p w:rsidR="003D6770" w:rsidRPr="00F70031" w:rsidRDefault="003D6770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843" w:type="dxa"/>
            <w:vAlign w:val="center"/>
          </w:tcPr>
          <w:p w:rsidR="003D6770" w:rsidRPr="00F70031" w:rsidRDefault="003D6770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3D6770" w:rsidRPr="00F70031" w:rsidRDefault="003D6770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3D6770" w:rsidRPr="00F70031" w:rsidRDefault="003D6770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3D6770" w:rsidRPr="00F70031" w:rsidTr="00A613AF">
        <w:tc>
          <w:tcPr>
            <w:tcW w:w="1668" w:type="dxa"/>
          </w:tcPr>
          <w:p w:rsidR="003D6770" w:rsidRPr="00F70031" w:rsidRDefault="003D677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260" w:type="dxa"/>
          </w:tcPr>
          <w:p w:rsidR="003D6770" w:rsidRPr="00F70031" w:rsidRDefault="003D677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3D6770" w:rsidRPr="00F70031" w:rsidRDefault="003D677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70" w:rsidRPr="00F70031" w:rsidRDefault="003D677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Надання допомоги лікарем</w:t>
            </w:r>
            <w:r w:rsidR="008A3B5A">
              <w:rPr>
                <w:rFonts w:ascii="Times New Roman" w:hAnsi="Times New Roman" w:cs="Times New Roman"/>
                <w:sz w:val="24"/>
                <w:szCs w:val="24"/>
              </w:rPr>
              <w:t>-урологом</w:t>
            </w: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проводиться в кабінеті лікаря</w:t>
            </w:r>
            <w:r w:rsidR="008A3B5A">
              <w:rPr>
                <w:rFonts w:ascii="Times New Roman" w:hAnsi="Times New Roman" w:cs="Times New Roman"/>
                <w:sz w:val="24"/>
                <w:szCs w:val="24"/>
              </w:rPr>
              <w:t>-уролога</w:t>
            </w:r>
          </w:p>
          <w:p w:rsidR="003D6770" w:rsidRPr="00F70031" w:rsidRDefault="003D677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70" w:rsidRPr="00F70031" w:rsidRDefault="003D677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3D6770" w:rsidRPr="00F70031" w:rsidRDefault="003D677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3.Оформлення лікарем</w:t>
            </w:r>
            <w:r w:rsidR="008A3B5A">
              <w:rPr>
                <w:rFonts w:ascii="Times New Roman" w:hAnsi="Times New Roman" w:cs="Times New Roman"/>
                <w:sz w:val="24"/>
                <w:szCs w:val="24"/>
              </w:rPr>
              <w:t xml:space="preserve">-урологом </w:t>
            </w: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згоди пацієнта на проведення діагностики, лікування та на проведення операції та знеболення форми 003-6/о;</w:t>
            </w:r>
          </w:p>
          <w:p w:rsidR="003D6770" w:rsidRPr="00F70031" w:rsidRDefault="003D677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3D6770" w:rsidRPr="00F70031" w:rsidRDefault="003D6770" w:rsidP="00A613AF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5.Заповнення консультаційного висновок спеціаліста 028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D6770" w:rsidRPr="00F70031" w:rsidRDefault="003D6770" w:rsidP="00A613AF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6.Оформлення фінансових </w:t>
            </w: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документів, якщо надана послуга за спец рахунком.</w:t>
            </w:r>
          </w:p>
        </w:tc>
        <w:tc>
          <w:tcPr>
            <w:tcW w:w="1843" w:type="dxa"/>
          </w:tcPr>
          <w:p w:rsidR="003D6770" w:rsidRPr="00F70031" w:rsidRDefault="003D677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3D6770" w:rsidRPr="00F70031" w:rsidRDefault="003D677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70" w:rsidRPr="00F70031" w:rsidRDefault="003D677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70" w:rsidRPr="00F70031" w:rsidRDefault="003D677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70" w:rsidRPr="00F70031" w:rsidRDefault="003D677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70" w:rsidRPr="00F70031" w:rsidRDefault="003D677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70" w:rsidRPr="00F70031" w:rsidRDefault="003D677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70" w:rsidRPr="00F70031" w:rsidRDefault="003D677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70" w:rsidRPr="00F70031" w:rsidRDefault="003D677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70" w:rsidRPr="00F70031" w:rsidRDefault="003D677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70" w:rsidRPr="00F70031" w:rsidRDefault="003D677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70" w:rsidRPr="00F70031" w:rsidRDefault="003D677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70" w:rsidRPr="00F70031" w:rsidRDefault="003D677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70" w:rsidRPr="00F70031" w:rsidRDefault="003D677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F70031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3D6770" w:rsidRPr="00F70031" w:rsidRDefault="003D677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6770" w:rsidRPr="00F70031" w:rsidRDefault="003D677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3D6770" w:rsidRPr="00F70031" w:rsidRDefault="003D677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3D6770" w:rsidRPr="00F70031" w:rsidRDefault="003D677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70" w:rsidRPr="00F70031" w:rsidRDefault="003D677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70" w:rsidRPr="00F70031" w:rsidRDefault="003D677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70" w:rsidRPr="00F70031" w:rsidRDefault="003D677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70" w:rsidRPr="00F70031" w:rsidRDefault="003D677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70" w:rsidRPr="00F70031" w:rsidRDefault="003D677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70" w:rsidRPr="00F70031" w:rsidRDefault="003D677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70" w:rsidRPr="00F70031" w:rsidRDefault="003D677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70" w:rsidRPr="00F70031" w:rsidRDefault="003D677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70" w:rsidRPr="00F70031" w:rsidRDefault="003D677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70" w:rsidRPr="00F70031" w:rsidRDefault="003D677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70" w:rsidRPr="00F70031" w:rsidRDefault="003D677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70" w:rsidRDefault="003D6770" w:rsidP="007F655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r w:rsidR="007F6556">
              <w:rPr>
                <w:rFonts w:ascii="Times New Roman" w:hAnsi="Times New Roman" w:cs="Times New Roman"/>
                <w:sz w:val="24"/>
                <w:szCs w:val="24"/>
              </w:rPr>
              <w:t>уролог</w:t>
            </w:r>
          </w:p>
          <w:p w:rsidR="007F6556" w:rsidRPr="00F70031" w:rsidRDefault="007F6556" w:rsidP="007F655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М.Д.</w:t>
            </w:r>
          </w:p>
          <w:p w:rsidR="003D6770" w:rsidRPr="00F70031" w:rsidRDefault="003D677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6770" w:rsidRPr="00F70031" w:rsidRDefault="003D677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3D6770" w:rsidRPr="00F70031" w:rsidRDefault="003D677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70" w:rsidRPr="00F70031" w:rsidRDefault="003D677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D6770" w:rsidRPr="00F70031" w:rsidRDefault="003D677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Наявність локального протоколу у лікаря.</w:t>
            </w:r>
          </w:p>
          <w:p w:rsidR="003D6770" w:rsidRPr="00F70031" w:rsidRDefault="003D677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3D6770" w:rsidRPr="00F70031" w:rsidTr="00A613AF">
        <w:tc>
          <w:tcPr>
            <w:tcW w:w="1668" w:type="dxa"/>
          </w:tcPr>
          <w:p w:rsidR="003D6770" w:rsidRPr="00F70031" w:rsidRDefault="003D677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260" w:type="dxa"/>
          </w:tcPr>
          <w:p w:rsidR="003D6770" w:rsidRPr="003D6770" w:rsidRDefault="003D6770" w:rsidP="003D6770">
            <w:pPr>
              <w:pStyle w:val="a5"/>
              <w:tabs>
                <w:tab w:val="left" w:pos="175"/>
              </w:tabs>
              <w:jc w:val="left"/>
              <w:rPr>
                <w:sz w:val="24"/>
              </w:rPr>
            </w:pPr>
            <w:r w:rsidRPr="003D6770">
              <w:rPr>
                <w:sz w:val="24"/>
                <w:u w:val="single"/>
              </w:rPr>
              <w:t xml:space="preserve">Клінічні симптоми: </w:t>
            </w:r>
            <w:r w:rsidRPr="003D6770">
              <w:rPr>
                <w:sz w:val="24"/>
              </w:rPr>
              <w:t>виділення з уретри; печія, сверблячка, різі по ходу сечівника.</w:t>
            </w:r>
          </w:p>
          <w:p w:rsidR="003D6770" w:rsidRPr="003D6770" w:rsidRDefault="003D6770" w:rsidP="003D6770">
            <w:pPr>
              <w:pStyle w:val="a5"/>
              <w:tabs>
                <w:tab w:val="left" w:pos="175"/>
              </w:tabs>
              <w:jc w:val="left"/>
              <w:rPr>
                <w:sz w:val="24"/>
                <w:u w:val="single"/>
              </w:rPr>
            </w:pPr>
            <w:r w:rsidRPr="003D6770">
              <w:rPr>
                <w:sz w:val="24"/>
                <w:u w:val="single"/>
              </w:rPr>
              <w:t>Обов’язкові заходи:</w:t>
            </w:r>
          </w:p>
          <w:p w:rsidR="003D6770" w:rsidRPr="003D6770" w:rsidRDefault="003D6770" w:rsidP="003D6770">
            <w:pPr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 анамнезу і скарг</w:t>
            </w:r>
          </w:p>
          <w:p w:rsidR="003D6770" w:rsidRPr="003D6770" w:rsidRDefault="003D6770" w:rsidP="003D6770">
            <w:pPr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Бактеріоскопічні</w:t>
            </w:r>
            <w:proofErr w:type="spellEnd"/>
            <w:r w:rsidRPr="003D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дослідження</w:t>
            </w:r>
          </w:p>
          <w:p w:rsidR="003D6770" w:rsidRPr="003D6770" w:rsidRDefault="003D6770" w:rsidP="003D6770">
            <w:pPr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Бактеріологічні дослідження</w:t>
            </w:r>
          </w:p>
          <w:p w:rsidR="003D6770" w:rsidRPr="003D6770" w:rsidRDefault="003D6770" w:rsidP="003D6770">
            <w:pPr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ІФА або МФА</w:t>
            </w:r>
          </w:p>
          <w:p w:rsidR="003D6770" w:rsidRPr="003D6770" w:rsidRDefault="003D6770" w:rsidP="003D6770">
            <w:pPr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Трьох-склянкова проба сечі.</w:t>
            </w:r>
          </w:p>
          <w:p w:rsidR="003D6770" w:rsidRPr="003D6770" w:rsidRDefault="003D6770" w:rsidP="003D6770">
            <w:pPr>
              <w:pStyle w:val="a5"/>
              <w:tabs>
                <w:tab w:val="left" w:pos="175"/>
              </w:tabs>
              <w:jc w:val="left"/>
              <w:rPr>
                <w:sz w:val="24"/>
                <w:u w:val="single"/>
              </w:rPr>
            </w:pPr>
            <w:r w:rsidRPr="003D6770">
              <w:rPr>
                <w:sz w:val="24"/>
                <w:u w:val="single"/>
              </w:rPr>
              <w:t>Факультативні заходи:</w:t>
            </w:r>
          </w:p>
          <w:p w:rsidR="003D6770" w:rsidRPr="003D6770" w:rsidRDefault="003D6770" w:rsidP="003D6770">
            <w:pPr>
              <w:numPr>
                <w:ilvl w:val="0"/>
                <w:numId w:val="7"/>
              </w:numPr>
              <w:tabs>
                <w:tab w:val="left" w:pos="175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ПЛР</w:t>
            </w:r>
          </w:p>
          <w:p w:rsidR="003D6770" w:rsidRPr="003D6770" w:rsidRDefault="003D6770" w:rsidP="003D6770">
            <w:pPr>
              <w:numPr>
                <w:ilvl w:val="0"/>
                <w:numId w:val="7"/>
              </w:numPr>
              <w:tabs>
                <w:tab w:val="left" w:pos="175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 простатичного соку</w:t>
            </w:r>
          </w:p>
          <w:p w:rsidR="003D6770" w:rsidRPr="003D6770" w:rsidRDefault="003D6770" w:rsidP="003D6770">
            <w:pPr>
              <w:numPr>
                <w:ilvl w:val="0"/>
                <w:numId w:val="7"/>
              </w:numPr>
              <w:tabs>
                <w:tab w:val="left" w:pos="175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Загальний аналіз крові</w:t>
            </w:r>
          </w:p>
          <w:p w:rsidR="003D6770" w:rsidRPr="003D6770" w:rsidRDefault="003D6770" w:rsidP="003D6770">
            <w:pPr>
              <w:numPr>
                <w:ilvl w:val="0"/>
                <w:numId w:val="7"/>
              </w:numPr>
              <w:tabs>
                <w:tab w:val="left" w:pos="175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 крові</w:t>
            </w:r>
          </w:p>
          <w:p w:rsidR="003D6770" w:rsidRPr="003D6770" w:rsidRDefault="003D6770" w:rsidP="003D6770">
            <w:pPr>
              <w:pStyle w:val="a5"/>
              <w:tabs>
                <w:tab w:val="left" w:pos="175"/>
              </w:tabs>
              <w:jc w:val="left"/>
              <w:rPr>
                <w:sz w:val="24"/>
                <w:u w:val="single"/>
              </w:rPr>
            </w:pPr>
          </w:p>
          <w:p w:rsidR="003D6770" w:rsidRPr="003D6770" w:rsidRDefault="003D6770" w:rsidP="003D6770">
            <w:pPr>
              <w:pStyle w:val="a5"/>
              <w:tabs>
                <w:tab w:val="left" w:pos="175"/>
              </w:tabs>
              <w:jc w:val="left"/>
              <w:rPr>
                <w:sz w:val="24"/>
              </w:rPr>
            </w:pPr>
            <w:r w:rsidRPr="003D6770">
              <w:rPr>
                <w:sz w:val="24"/>
              </w:rPr>
              <w:t>Для діагностики уретритів використовують:</w:t>
            </w:r>
          </w:p>
          <w:p w:rsidR="003D6770" w:rsidRPr="003D6770" w:rsidRDefault="003D6770" w:rsidP="003D6770">
            <w:pPr>
              <w:pStyle w:val="a5"/>
              <w:tabs>
                <w:tab w:val="left" w:pos="175"/>
              </w:tabs>
              <w:jc w:val="left"/>
              <w:rPr>
                <w:sz w:val="24"/>
              </w:rPr>
            </w:pPr>
            <w:r w:rsidRPr="003D6770">
              <w:rPr>
                <w:sz w:val="24"/>
              </w:rPr>
              <w:t>-</w:t>
            </w:r>
            <w:r w:rsidRPr="003D6770">
              <w:rPr>
                <w:sz w:val="24"/>
              </w:rPr>
              <w:tab/>
              <w:t xml:space="preserve">мікроскопічне та </w:t>
            </w:r>
            <w:proofErr w:type="spellStart"/>
            <w:r w:rsidRPr="003D6770">
              <w:rPr>
                <w:sz w:val="24"/>
              </w:rPr>
              <w:t>бактеріоскопічне</w:t>
            </w:r>
            <w:proofErr w:type="spellEnd"/>
            <w:r w:rsidRPr="003D6770">
              <w:rPr>
                <w:sz w:val="24"/>
              </w:rPr>
              <w:t xml:space="preserve"> дослідження зіскрібків з уретри (</w:t>
            </w:r>
            <w:proofErr w:type="spellStart"/>
            <w:r w:rsidRPr="003D6770">
              <w:rPr>
                <w:sz w:val="24"/>
              </w:rPr>
              <w:t>нативних</w:t>
            </w:r>
            <w:proofErr w:type="spellEnd"/>
            <w:r w:rsidRPr="003D6770">
              <w:rPr>
                <w:sz w:val="24"/>
              </w:rPr>
              <w:t xml:space="preserve"> і пофарбованих по Граму чи </w:t>
            </w:r>
            <w:proofErr w:type="spellStart"/>
            <w:r w:rsidRPr="003D6770">
              <w:rPr>
                <w:sz w:val="24"/>
              </w:rPr>
              <w:t>Романовському-Гімзе</w:t>
            </w:r>
            <w:proofErr w:type="spellEnd"/>
            <w:r w:rsidRPr="003D6770">
              <w:rPr>
                <w:sz w:val="24"/>
              </w:rPr>
              <w:t xml:space="preserve">), дозволяє провести кількісну і якісну оцінку клітинних елементів (лейкоцитів, епітелію), а також виявити різні мікробні асоціації; </w:t>
            </w:r>
          </w:p>
          <w:p w:rsidR="003D6770" w:rsidRPr="003D6770" w:rsidRDefault="003D6770" w:rsidP="003D6770">
            <w:pPr>
              <w:pStyle w:val="a5"/>
              <w:tabs>
                <w:tab w:val="left" w:pos="175"/>
              </w:tabs>
              <w:jc w:val="left"/>
              <w:rPr>
                <w:sz w:val="24"/>
              </w:rPr>
            </w:pPr>
            <w:r w:rsidRPr="003D6770">
              <w:rPr>
                <w:sz w:val="24"/>
              </w:rPr>
              <w:t>-</w:t>
            </w:r>
            <w:r w:rsidRPr="003D6770">
              <w:rPr>
                <w:sz w:val="24"/>
              </w:rPr>
              <w:tab/>
              <w:t>бактеріологічне дослідження (посів на живильні середовища)  дозволяє ідентифікувати мікробні організми, оцінити їх чутливість до антибактеріальних препаратів;</w:t>
            </w:r>
          </w:p>
          <w:p w:rsidR="003D6770" w:rsidRPr="003D6770" w:rsidRDefault="003D6770" w:rsidP="003D6770">
            <w:pPr>
              <w:pStyle w:val="a5"/>
              <w:tabs>
                <w:tab w:val="left" w:pos="175"/>
              </w:tabs>
              <w:jc w:val="left"/>
              <w:rPr>
                <w:sz w:val="24"/>
              </w:rPr>
            </w:pPr>
            <w:r w:rsidRPr="003D6770">
              <w:rPr>
                <w:sz w:val="24"/>
              </w:rPr>
              <w:t>-</w:t>
            </w:r>
            <w:r w:rsidRPr="003D6770">
              <w:rPr>
                <w:sz w:val="24"/>
              </w:rPr>
              <w:tab/>
              <w:t xml:space="preserve">клінічні дослідження: дослідження методом ІФА, МФА та ПЛР (для виключення </w:t>
            </w:r>
            <w:proofErr w:type="spellStart"/>
            <w:r w:rsidRPr="003D6770">
              <w:rPr>
                <w:sz w:val="24"/>
              </w:rPr>
              <w:t>хламідійної</w:t>
            </w:r>
            <w:proofErr w:type="spellEnd"/>
            <w:r w:rsidRPr="003D6770">
              <w:rPr>
                <w:sz w:val="24"/>
              </w:rPr>
              <w:t xml:space="preserve">, </w:t>
            </w:r>
            <w:proofErr w:type="spellStart"/>
            <w:r w:rsidRPr="003D6770">
              <w:rPr>
                <w:sz w:val="24"/>
              </w:rPr>
              <w:t>уреаплазмової</w:t>
            </w:r>
            <w:proofErr w:type="spellEnd"/>
            <w:r w:rsidRPr="003D6770">
              <w:rPr>
                <w:sz w:val="24"/>
              </w:rPr>
              <w:t>, вірусної та інших інфекцій), трьох-склянкова проба сечі, аналіз простатичного соку, загальний аналіз крові, глюкоза крові.</w:t>
            </w:r>
          </w:p>
          <w:p w:rsidR="003D6770" w:rsidRPr="003D6770" w:rsidRDefault="003D6770" w:rsidP="003D6770">
            <w:pPr>
              <w:pStyle w:val="a5"/>
              <w:tabs>
                <w:tab w:val="left" w:pos="175"/>
              </w:tabs>
              <w:jc w:val="left"/>
            </w:pPr>
            <w:r w:rsidRPr="003D6770">
              <w:rPr>
                <w:sz w:val="24"/>
              </w:rPr>
              <w:t xml:space="preserve">Для уретритів характерне збільшення кількості </w:t>
            </w:r>
            <w:r w:rsidRPr="003D6770">
              <w:rPr>
                <w:sz w:val="24"/>
              </w:rPr>
              <w:lastRenderedPageBreak/>
              <w:t xml:space="preserve">лейкоцитів у зіскрібках з уретри, поява епітеліальних клітин. У загальному аналізі крові, як правило, змін не виявляється. У </w:t>
            </w:r>
            <w:proofErr w:type="spellStart"/>
            <w:r w:rsidRPr="003D6770">
              <w:rPr>
                <w:sz w:val="24"/>
              </w:rPr>
              <w:t>трьохсклянковій</w:t>
            </w:r>
            <w:proofErr w:type="spellEnd"/>
            <w:r w:rsidRPr="003D6770">
              <w:rPr>
                <w:sz w:val="24"/>
              </w:rPr>
              <w:t xml:space="preserve"> пробі сечі виявляються зміни в перших порціях, які характеризуються підвищеною кількістю лейкоцитів. При ускладненні уретриту простатитом виявляються характерні зміни в аналізі простатичного соку.</w:t>
            </w:r>
            <w:r>
              <w:t xml:space="preserve"> </w:t>
            </w:r>
          </w:p>
        </w:tc>
        <w:tc>
          <w:tcPr>
            <w:tcW w:w="1843" w:type="dxa"/>
          </w:tcPr>
          <w:p w:rsidR="003D6770" w:rsidRPr="00F70031" w:rsidRDefault="003D677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70" w:rsidRPr="00F70031" w:rsidRDefault="003D677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70" w:rsidRPr="00F70031" w:rsidRDefault="003D677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70" w:rsidRPr="00F70031" w:rsidRDefault="003D677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70" w:rsidRPr="00F70031" w:rsidRDefault="003D677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70" w:rsidRPr="00F70031" w:rsidRDefault="003D677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70" w:rsidRPr="00F70031" w:rsidRDefault="003D677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70" w:rsidRPr="00F70031" w:rsidRDefault="003D677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70" w:rsidRPr="00F70031" w:rsidRDefault="003D677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70" w:rsidRPr="00F70031" w:rsidRDefault="003D677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70" w:rsidRPr="00F70031" w:rsidRDefault="003D677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70" w:rsidRPr="00F70031" w:rsidRDefault="003D677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6556" w:rsidRDefault="007F6556" w:rsidP="007F655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уролог</w:t>
            </w:r>
          </w:p>
          <w:p w:rsidR="007F6556" w:rsidRPr="00F70031" w:rsidRDefault="007F6556" w:rsidP="007F655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М.Д.</w:t>
            </w:r>
          </w:p>
          <w:p w:rsidR="003D6770" w:rsidRPr="00F70031" w:rsidRDefault="003D677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6770" w:rsidRPr="00F70031" w:rsidRDefault="003D677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3D6770" w:rsidRPr="00F70031" w:rsidRDefault="003D677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D6770" w:rsidRPr="00F70031" w:rsidRDefault="003D677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3D6770" w:rsidRPr="00F70031" w:rsidTr="00A613AF">
        <w:tc>
          <w:tcPr>
            <w:tcW w:w="1668" w:type="dxa"/>
          </w:tcPr>
          <w:p w:rsidR="003D6770" w:rsidRPr="00F70031" w:rsidRDefault="003D677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Лікування</w:t>
            </w:r>
          </w:p>
        </w:tc>
        <w:tc>
          <w:tcPr>
            <w:tcW w:w="3260" w:type="dxa"/>
          </w:tcPr>
          <w:p w:rsidR="007F6556" w:rsidRPr="007F6556" w:rsidRDefault="007F6556" w:rsidP="007F65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Загальні підходи до лікування неспецифічних уретритів.</w:t>
            </w:r>
          </w:p>
          <w:p w:rsidR="007F6556" w:rsidRPr="007F6556" w:rsidRDefault="007F6556" w:rsidP="007F6556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7F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Основою </w:t>
            </w:r>
            <w:proofErr w:type="spellStart"/>
            <w:r w:rsidRPr="007F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етіотропної</w:t>
            </w:r>
            <w:proofErr w:type="spellEnd"/>
            <w:r w:rsidRPr="007F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терапії є застосування антибіотиків широкого спектра дії, а також антимікробних препаратів різних груп (сульфаніламіди, </w:t>
            </w:r>
            <w:proofErr w:type="spellStart"/>
            <w:r w:rsidRPr="007F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нітрофурани</w:t>
            </w:r>
            <w:proofErr w:type="spellEnd"/>
            <w:r w:rsidRPr="007F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інші). Прийом антибактеріальних засобів поєднують із прийомом препаратів, що потенціюють їхню дію </w:t>
            </w:r>
            <w:proofErr w:type="spellStart"/>
            <w:r w:rsidRPr="007F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метилурацилом</w:t>
            </w:r>
            <w:proofErr w:type="spellEnd"/>
            <w:r w:rsidRPr="007F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пентоксилом</w:t>
            </w:r>
            <w:proofErr w:type="spellEnd"/>
            <w:r w:rsidRPr="007F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 показаннями можуть призначатися біостимулятори, </w:t>
            </w:r>
            <w:proofErr w:type="spellStart"/>
            <w:r w:rsidRPr="007F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імуномодулятори</w:t>
            </w:r>
            <w:proofErr w:type="spellEnd"/>
            <w:r w:rsidRPr="007F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полівітаміни та інші. Місцеве лікування - інстиляціями та зрошенням уретри при гострому запальному процесі в уретрі протипоказані</w:t>
            </w:r>
            <w:r w:rsidRPr="007F65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7F6556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ab/>
              <w:t xml:space="preserve"> </w:t>
            </w:r>
          </w:p>
          <w:p w:rsidR="003D6770" w:rsidRPr="007F6556" w:rsidRDefault="003D6770" w:rsidP="007F6556">
            <w:pPr>
              <w:widowControl w:val="0"/>
              <w:shd w:val="clear" w:color="auto" w:fill="FFFFFF"/>
              <w:tabs>
                <w:tab w:val="left" w:pos="175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3D6770" w:rsidRPr="003D6770" w:rsidRDefault="003D6770" w:rsidP="003D6770">
            <w:pPr>
              <w:pStyle w:val="a5"/>
              <w:jc w:val="left"/>
              <w:rPr>
                <w:sz w:val="24"/>
              </w:rPr>
            </w:pPr>
            <w:r w:rsidRPr="003D6770">
              <w:rPr>
                <w:sz w:val="24"/>
              </w:rPr>
              <w:t>При задовільному загальному стані пацієнта – терапії з пероральним прийомом одного із наступних препаратів:</w:t>
            </w:r>
          </w:p>
          <w:p w:rsidR="003D6770" w:rsidRPr="003D6770" w:rsidRDefault="003D6770" w:rsidP="003D6770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num" w:pos="1680"/>
              </w:tabs>
              <w:ind w:left="0" w:firstLine="0"/>
              <w:jc w:val="left"/>
              <w:rPr>
                <w:sz w:val="24"/>
              </w:rPr>
            </w:pPr>
            <w:proofErr w:type="spellStart"/>
            <w:r w:rsidRPr="003D6770">
              <w:rPr>
                <w:sz w:val="24"/>
              </w:rPr>
              <w:t>доксіциклін</w:t>
            </w:r>
            <w:proofErr w:type="spellEnd"/>
            <w:r w:rsidRPr="003D6770">
              <w:rPr>
                <w:sz w:val="24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1 г"/>
              </w:smartTagPr>
              <w:r w:rsidRPr="003D6770">
                <w:rPr>
                  <w:sz w:val="24"/>
                </w:rPr>
                <w:t>0,1 г</w:t>
              </w:r>
            </w:smartTag>
            <w:r w:rsidRPr="003D6770">
              <w:rPr>
                <w:sz w:val="24"/>
              </w:rPr>
              <w:t xml:space="preserve"> х 2 рази на добу, 7 днів;</w:t>
            </w:r>
          </w:p>
          <w:p w:rsidR="003D6770" w:rsidRPr="003D6770" w:rsidRDefault="003D6770" w:rsidP="003D6770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num" w:pos="1680"/>
              </w:tabs>
              <w:ind w:left="0" w:firstLine="0"/>
              <w:jc w:val="left"/>
              <w:rPr>
                <w:sz w:val="24"/>
              </w:rPr>
            </w:pPr>
            <w:r w:rsidRPr="003D6770">
              <w:rPr>
                <w:sz w:val="24"/>
              </w:rPr>
              <w:t xml:space="preserve">еритроміцин по </w:t>
            </w:r>
            <w:smartTag w:uri="urn:schemas-microsoft-com:office:smarttags" w:element="metricconverter">
              <w:smartTagPr>
                <w:attr w:name="ProductID" w:val="0,5 г"/>
              </w:smartTagPr>
              <w:r w:rsidRPr="003D6770">
                <w:rPr>
                  <w:sz w:val="24"/>
                </w:rPr>
                <w:t>0,5 г</w:t>
              </w:r>
            </w:smartTag>
            <w:r w:rsidRPr="003D6770">
              <w:rPr>
                <w:sz w:val="24"/>
              </w:rPr>
              <w:t xml:space="preserve"> х 4 рази на добу, 7 днів;</w:t>
            </w:r>
          </w:p>
          <w:p w:rsidR="003D6770" w:rsidRPr="003D6770" w:rsidRDefault="003D6770" w:rsidP="003D6770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num" w:pos="1680"/>
              </w:tabs>
              <w:ind w:left="0" w:firstLine="0"/>
              <w:jc w:val="left"/>
              <w:rPr>
                <w:sz w:val="24"/>
              </w:rPr>
            </w:pPr>
            <w:proofErr w:type="spellStart"/>
            <w:r w:rsidRPr="003D6770">
              <w:rPr>
                <w:sz w:val="24"/>
              </w:rPr>
              <w:t>офлоксацин</w:t>
            </w:r>
            <w:proofErr w:type="spellEnd"/>
            <w:r w:rsidRPr="003D6770">
              <w:rPr>
                <w:sz w:val="24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2 г"/>
              </w:smartTagPr>
              <w:r w:rsidRPr="003D6770">
                <w:rPr>
                  <w:sz w:val="24"/>
                </w:rPr>
                <w:t>0,2 г</w:t>
              </w:r>
            </w:smartTag>
            <w:r w:rsidRPr="003D6770">
              <w:rPr>
                <w:sz w:val="24"/>
              </w:rPr>
              <w:t xml:space="preserve"> х 2 рази на добу, 7 днів;</w:t>
            </w:r>
          </w:p>
          <w:p w:rsidR="003D6770" w:rsidRPr="003D6770" w:rsidRDefault="003D6770" w:rsidP="003D6770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num" w:pos="1680"/>
              </w:tabs>
              <w:ind w:left="0" w:firstLine="0"/>
              <w:jc w:val="left"/>
              <w:rPr>
                <w:sz w:val="24"/>
              </w:rPr>
            </w:pPr>
            <w:proofErr w:type="spellStart"/>
            <w:r w:rsidRPr="003D6770">
              <w:rPr>
                <w:sz w:val="24"/>
              </w:rPr>
              <w:t>ципрофлоксацин</w:t>
            </w:r>
            <w:proofErr w:type="spellEnd"/>
            <w:r w:rsidRPr="003D6770">
              <w:rPr>
                <w:sz w:val="24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25 г"/>
              </w:smartTagPr>
              <w:r w:rsidRPr="003D6770">
                <w:rPr>
                  <w:sz w:val="24"/>
                </w:rPr>
                <w:t>0,25 г</w:t>
              </w:r>
            </w:smartTag>
            <w:r w:rsidRPr="003D6770">
              <w:rPr>
                <w:sz w:val="24"/>
              </w:rPr>
              <w:t xml:space="preserve"> х 2 рази на добу, 7 днів;</w:t>
            </w:r>
          </w:p>
          <w:p w:rsidR="003D6770" w:rsidRPr="003D6770" w:rsidRDefault="003D6770" w:rsidP="003D6770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num" w:pos="1680"/>
              </w:tabs>
              <w:ind w:left="0" w:firstLine="0"/>
              <w:jc w:val="left"/>
              <w:rPr>
                <w:sz w:val="24"/>
              </w:rPr>
            </w:pPr>
            <w:proofErr w:type="spellStart"/>
            <w:r w:rsidRPr="003D6770">
              <w:rPr>
                <w:sz w:val="24"/>
              </w:rPr>
              <w:t>бисептол</w:t>
            </w:r>
            <w:proofErr w:type="spellEnd"/>
            <w:r w:rsidRPr="003D6770">
              <w:rPr>
                <w:sz w:val="24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48 г"/>
              </w:smartTagPr>
              <w:r w:rsidRPr="003D6770">
                <w:rPr>
                  <w:sz w:val="24"/>
                </w:rPr>
                <w:t>0,48 г</w:t>
              </w:r>
            </w:smartTag>
            <w:r w:rsidRPr="003D6770">
              <w:rPr>
                <w:sz w:val="24"/>
              </w:rPr>
              <w:t xml:space="preserve"> х 2 рази на добу, 7 днів.</w:t>
            </w:r>
          </w:p>
          <w:p w:rsidR="003D6770" w:rsidRPr="003D6770" w:rsidRDefault="003D6770" w:rsidP="003D6770">
            <w:pPr>
              <w:pStyle w:val="a5"/>
              <w:jc w:val="left"/>
              <w:rPr>
                <w:sz w:val="24"/>
              </w:rPr>
            </w:pPr>
            <w:r w:rsidRPr="003D6770">
              <w:rPr>
                <w:sz w:val="24"/>
              </w:rPr>
              <w:t>Контроль виліковування через 7-10 діб по закінченню лікування.</w:t>
            </w:r>
          </w:p>
          <w:p w:rsidR="003D6770" w:rsidRPr="003D6770" w:rsidRDefault="003D6770" w:rsidP="003D6770">
            <w:pPr>
              <w:pStyle w:val="a5"/>
              <w:jc w:val="left"/>
            </w:pPr>
            <w:r w:rsidRPr="003D6770">
              <w:rPr>
                <w:sz w:val="24"/>
              </w:rPr>
              <w:t xml:space="preserve">При неспецифічному уретриті із </w:t>
            </w:r>
            <w:r w:rsidRPr="003D6770">
              <w:rPr>
                <w:sz w:val="24"/>
              </w:rPr>
              <w:lastRenderedPageBreak/>
              <w:t>значними суб’єктивними розладами та вираженою дизурією – госпіталізація у стаціонар.</w:t>
            </w:r>
            <w:r>
              <w:t xml:space="preserve"> </w:t>
            </w:r>
          </w:p>
        </w:tc>
        <w:tc>
          <w:tcPr>
            <w:tcW w:w="1417" w:type="dxa"/>
          </w:tcPr>
          <w:p w:rsidR="007F6556" w:rsidRDefault="007F6556" w:rsidP="007F655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Лікар-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уролог</w:t>
            </w:r>
          </w:p>
          <w:p w:rsidR="007F6556" w:rsidRPr="00F70031" w:rsidRDefault="007F6556" w:rsidP="007F655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М.Д.</w:t>
            </w:r>
          </w:p>
          <w:p w:rsidR="003D6770" w:rsidRPr="00F70031" w:rsidRDefault="003D677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6770" w:rsidRPr="00F70031" w:rsidRDefault="003D677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7F6556" w:rsidRPr="007F6556" w:rsidRDefault="007F6556" w:rsidP="007F6556">
            <w:pPr>
              <w:tabs>
                <w:tab w:val="left" w:pos="17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відсутності ознак неспецифічного уретриту ( за даними проведених діагностичних досліджень) формується нова діагностична концепція;</w:t>
            </w:r>
          </w:p>
          <w:p w:rsidR="003D6770" w:rsidRPr="007F6556" w:rsidRDefault="007F6556" w:rsidP="007F6556">
            <w:pPr>
              <w:tabs>
                <w:tab w:val="left" w:pos="176"/>
              </w:tabs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виявленні ознак іншого захворювання, що вимагає проведення діагностично-лікувальних заходів, при відсутності неспецифічного уретриту пацієнт переходить до Протоколу ведення хворих з відповідним/виявленим захворюванням синдромом.</w:t>
            </w:r>
          </w:p>
        </w:tc>
      </w:tr>
      <w:tr w:rsidR="003D6770" w:rsidRPr="00F70031" w:rsidTr="00A613AF">
        <w:tc>
          <w:tcPr>
            <w:tcW w:w="1668" w:type="dxa"/>
          </w:tcPr>
          <w:p w:rsidR="003D6770" w:rsidRPr="00F70031" w:rsidRDefault="003D677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Реабілітація</w:t>
            </w:r>
          </w:p>
        </w:tc>
        <w:tc>
          <w:tcPr>
            <w:tcW w:w="3260" w:type="dxa"/>
          </w:tcPr>
          <w:p w:rsidR="007F6556" w:rsidRPr="007F6556" w:rsidRDefault="007F6556" w:rsidP="007F6556">
            <w:pPr>
              <w:pStyle w:val="a5"/>
              <w:jc w:val="left"/>
              <w:rPr>
                <w:sz w:val="24"/>
              </w:rPr>
            </w:pPr>
            <w:r w:rsidRPr="007F6556">
              <w:rPr>
                <w:sz w:val="24"/>
              </w:rPr>
              <w:t xml:space="preserve">Заборона статевих стосунків на час лікування. </w:t>
            </w:r>
          </w:p>
          <w:p w:rsidR="007F6556" w:rsidRPr="007F6556" w:rsidRDefault="007F6556" w:rsidP="007F655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F65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Вимоги до догляду за пацієнтом і допоміжних процедур</w:t>
            </w:r>
          </w:p>
          <w:p w:rsidR="003D6770" w:rsidRPr="007F6556" w:rsidRDefault="007F6556" w:rsidP="007F65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Спеціальних вимог немає.</w:t>
            </w:r>
          </w:p>
        </w:tc>
        <w:tc>
          <w:tcPr>
            <w:tcW w:w="1843" w:type="dxa"/>
          </w:tcPr>
          <w:p w:rsidR="003D6770" w:rsidRPr="00F70031" w:rsidRDefault="003D677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6770" w:rsidRPr="00F70031" w:rsidRDefault="003D677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D6770" w:rsidRPr="00F70031" w:rsidRDefault="003D6770" w:rsidP="00A613AF">
            <w:pPr>
              <w:tabs>
                <w:tab w:val="left" w:pos="34"/>
                <w:tab w:val="left" w:pos="31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Дотримання здорового способу життя.</w:t>
            </w:r>
          </w:p>
        </w:tc>
      </w:tr>
      <w:tr w:rsidR="003D6770" w:rsidRPr="00F70031" w:rsidTr="00A613AF">
        <w:trPr>
          <w:trHeight w:val="212"/>
        </w:trPr>
        <w:tc>
          <w:tcPr>
            <w:tcW w:w="1668" w:type="dxa"/>
          </w:tcPr>
          <w:p w:rsidR="003D6770" w:rsidRPr="00F70031" w:rsidRDefault="003D677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Профілактика</w:t>
            </w:r>
          </w:p>
        </w:tc>
        <w:tc>
          <w:tcPr>
            <w:tcW w:w="3260" w:type="dxa"/>
          </w:tcPr>
          <w:p w:rsidR="007F6556" w:rsidRPr="007F6556" w:rsidRDefault="007F6556" w:rsidP="007F6556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num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Санітарно-просвітня робота. </w:t>
            </w:r>
          </w:p>
          <w:p w:rsidR="007F6556" w:rsidRPr="007F6556" w:rsidRDefault="007F6556" w:rsidP="007F6556">
            <w:pPr>
              <w:tabs>
                <w:tab w:val="num" w:pos="0"/>
                <w:tab w:val="num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F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Дотримання принципів асептики та антисептики при проведенні діагностичних і лікувальних маніпуляцій (катетеризація, </w:t>
            </w:r>
            <w:proofErr w:type="spellStart"/>
            <w:r w:rsidRPr="007F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бужування</w:t>
            </w:r>
            <w:proofErr w:type="spellEnd"/>
            <w:r w:rsidRPr="007F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ендоскопічні втручання).</w:t>
            </w:r>
          </w:p>
          <w:p w:rsidR="003D6770" w:rsidRPr="007F6556" w:rsidRDefault="007F6556" w:rsidP="007F6556">
            <w:pPr>
              <w:tabs>
                <w:tab w:val="num" w:pos="0"/>
                <w:tab w:val="num" w:pos="175"/>
              </w:tabs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F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Лікування запальних захворювань </w:t>
            </w:r>
            <w:proofErr w:type="spellStart"/>
            <w:r w:rsidRPr="007F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геніталій</w:t>
            </w:r>
            <w:proofErr w:type="spellEnd"/>
            <w:r w:rsidRPr="007F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статевих партнерів хворих на неспецифічний уретрит.</w:t>
            </w:r>
            <w:r w:rsidRPr="007F65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3D6770" w:rsidRPr="00F70031" w:rsidRDefault="003D677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6770" w:rsidRDefault="003D677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70" w:rsidRPr="003321B3" w:rsidRDefault="003D6770" w:rsidP="00A61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D6770" w:rsidRPr="00F70031" w:rsidRDefault="003D677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487" w:rsidRDefault="00CC4487"/>
    <w:sectPr w:rsidR="00CC4487" w:rsidSect="006603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5FDF"/>
    <w:multiLevelType w:val="hybridMultilevel"/>
    <w:tmpl w:val="739C9DEC"/>
    <w:lvl w:ilvl="0" w:tplc="D55CB6C4">
      <w:start w:val="65535"/>
      <w:numFmt w:val="bullet"/>
      <w:lvlText w:val="•"/>
      <w:legacy w:legacy="1" w:legacySpace="0" w:legacyIndent="21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78032F"/>
    <w:multiLevelType w:val="hybridMultilevel"/>
    <w:tmpl w:val="A012470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0621A5"/>
    <w:multiLevelType w:val="multilevel"/>
    <w:tmpl w:val="D5C8E9D0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48E828B3"/>
    <w:multiLevelType w:val="multilevel"/>
    <w:tmpl w:val="141826F4"/>
    <w:lvl w:ilvl="0">
      <w:start w:val="1"/>
      <w:numFmt w:val="bullet"/>
      <w:lvlText w:val=""/>
      <w:lvlJc w:val="left"/>
      <w:pPr>
        <w:tabs>
          <w:tab w:val="num" w:pos="1645"/>
        </w:tabs>
        <w:ind w:left="16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65"/>
        </w:tabs>
        <w:ind w:left="23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85"/>
        </w:tabs>
        <w:ind w:left="30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05"/>
        </w:tabs>
        <w:ind w:left="38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25"/>
        </w:tabs>
        <w:ind w:left="45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45"/>
        </w:tabs>
        <w:ind w:left="52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65"/>
        </w:tabs>
        <w:ind w:left="59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85"/>
        </w:tabs>
        <w:ind w:left="66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405"/>
        </w:tabs>
        <w:ind w:left="7405" w:hanging="360"/>
      </w:pPr>
      <w:rPr>
        <w:rFonts w:ascii="Wingdings" w:hAnsi="Wingdings" w:hint="default"/>
      </w:rPr>
    </w:lvl>
  </w:abstractNum>
  <w:abstractNum w:abstractNumId="4">
    <w:nsid w:val="4DB030AA"/>
    <w:multiLevelType w:val="multilevel"/>
    <w:tmpl w:val="9B50F8D4"/>
    <w:lvl w:ilvl="0">
      <w:start w:val="1"/>
      <w:numFmt w:val="bullet"/>
      <w:lvlText w:val=""/>
      <w:lvlJc w:val="left"/>
      <w:pPr>
        <w:tabs>
          <w:tab w:val="num" w:pos="1061"/>
        </w:tabs>
        <w:ind w:left="1061" w:hanging="360"/>
      </w:pPr>
      <w:rPr>
        <w:rFonts w:ascii="Symbol" w:hAnsi="Symbol" w:hint="default"/>
      </w:rPr>
    </w:lvl>
    <w:lvl w:ilvl="1">
      <w:start w:val="6"/>
      <w:numFmt w:val="bullet"/>
      <w:lvlText w:val="–"/>
      <w:lvlJc w:val="left"/>
      <w:pPr>
        <w:tabs>
          <w:tab w:val="num" w:pos="2336"/>
        </w:tabs>
        <w:ind w:left="2336" w:hanging="915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5">
    <w:nsid w:val="51AE4EAB"/>
    <w:multiLevelType w:val="hybridMultilevel"/>
    <w:tmpl w:val="591260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D795E7B"/>
    <w:multiLevelType w:val="hybridMultilevel"/>
    <w:tmpl w:val="23109672"/>
    <w:lvl w:ilvl="0" w:tplc="39503A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6770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6237D"/>
    <w:rsid w:val="0007077A"/>
    <w:rsid w:val="00076102"/>
    <w:rsid w:val="00081E7D"/>
    <w:rsid w:val="0009278B"/>
    <w:rsid w:val="000957B0"/>
    <w:rsid w:val="000972F5"/>
    <w:rsid w:val="000A0DA2"/>
    <w:rsid w:val="000A4BFA"/>
    <w:rsid w:val="000C0AD3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202E91"/>
    <w:rsid w:val="0021131B"/>
    <w:rsid w:val="0021398F"/>
    <w:rsid w:val="00230B09"/>
    <w:rsid w:val="0023618B"/>
    <w:rsid w:val="002748D3"/>
    <w:rsid w:val="00276306"/>
    <w:rsid w:val="00276DAD"/>
    <w:rsid w:val="00294D2D"/>
    <w:rsid w:val="002A774D"/>
    <w:rsid w:val="002B6665"/>
    <w:rsid w:val="002C3910"/>
    <w:rsid w:val="002C50B1"/>
    <w:rsid w:val="002C58C1"/>
    <w:rsid w:val="002D7EA3"/>
    <w:rsid w:val="002E58AB"/>
    <w:rsid w:val="002F50F8"/>
    <w:rsid w:val="003038F2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D6770"/>
    <w:rsid w:val="003F5C1E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398"/>
    <w:rsid w:val="00660DB6"/>
    <w:rsid w:val="00671D1F"/>
    <w:rsid w:val="0067265D"/>
    <w:rsid w:val="0067777C"/>
    <w:rsid w:val="0068036D"/>
    <w:rsid w:val="00686393"/>
    <w:rsid w:val="00692D49"/>
    <w:rsid w:val="006933B1"/>
    <w:rsid w:val="006B32A9"/>
    <w:rsid w:val="006B5BE3"/>
    <w:rsid w:val="006B5F9D"/>
    <w:rsid w:val="006D3303"/>
    <w:rsid w:val="006E352C"/>
    <w:rsid w:val="0071732C"/>
    <w:rsid w:val="007202F4"/>
    <w:rsid w:val="007327F0"/>
    <w:rsid w:val="00733765"/>
    <w:rsid w:val="00742F91"/>
    <w:rsid w:val="00747BB4"/>
    <w:rsid w:val="0075636F"/>
    <w:rsid w:val="00765BF8"/>
    <w:rsid w:val="00774342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7F6556"/>
    <w:rsid w:val="00813C2E"/>
    <w:rsid w:val="0081558D"/>
    <w:rsid w:val="00817924"/>
    <w:rsid w:val="00824361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3B5A"/>
    <w:rsid w:val="008A7000"/>
    <w:rsid w:val="008B26EC"/>
    <w:rsid w:val="008D0AFB"/>
    <w:rsid w:val="008D7AFB"/>
    <w:rsid w:val="008E09E0"/>
    <w:rsid w:val="00905148"/>
    <w:rsid w:val="00914056"/>
    <w:rsid w:val="00914550"/>
    <w:rsid w:val="00927F7F"/>
    <w:rsid w:val="009330D7"/>
    <w:rsid w:val="009374BC"/>
    <w:rsid w:val="009434EB"/>
    <w:rsid w:val="009570B0"/>
    <w:rsid w:val="00970925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821CC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72ED8"/>
    <w:rsid w:val="00B73597"/>
    <w:rsid w:val="00B8504C"/>
    <w:rsid w:val="00BB3690"/>
    <w:rsid w:val="00BB7473"/>
    <w:rsid w:val="00BC4C78"/>
    <w:rsid w:val="00BD4244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14D99"/>
    <w:rsid w:val="00E3652A"/>
    <w:rsid w:val="00E639E3"/>
    <w:rsid w:val="00E710F1"/>
    <w:rsid w:val="00E920F3"/>
    <w:rsid w:val="00E92F71"/>
    <w:rsid w:val="00E94E53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0CF7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6770"/>
    <w:pPr>
      <w:ind w:left="720"/>
      <w:contextualSpacing/>
    </w:pPr>
  </w:style>
  <w:style w:type="paragraph" w:styleId="a5">
    <w:name w:val="Body Text"/>
    <w:basedOn w:val="a"/>
    <w:link w:val="a6"/>
    <w:rsid w:val="003D67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D677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6770"/>
    <w:pPr>
      <w:ind w:left="720"/>
      <w:contextualSpacing/>
    </w:pPr>
  </w:style>
  <w:style w:type="paragraph" w:styleId="a5">
    <w:name w:val="Body Text"/>
    <w:basedOn w:val="a"/>
    <w:link w:val="a6"/>
    <w:rsid w:val="003D67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D677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3646</Words>
  <Characters>2079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2015-02-24T10:45:00Z</dcterms:created>
  <dcterms:modified xsi:type="dcterms:W3CDTF">2015-03-16T14:56:00Z</dcterms:modified>
</cp:coreProperties>
</file>