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AD74C2" w:rsidRPr="00AD74C2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AD74C2" w:rsidRPr="00AD74C2" w:rsidRDefault="00AD74C2" w:rsidP="00AD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AD74C2" w:rsidRPr="00AD74C2" w:rsidRDefault="00AD74C2" w:rsidP="00AD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AD74C2" w:rsidRPr="00AD74C2" w:rsidRDefault="00AD74C2" w:rsidP="00AD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AD74C2" w:rsidRPr="00AD74C2" w:rsidRDefault="00AD74C2" w:rsidP="00AD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AD74C2" w:rsidRPr="00AD74C2" w:rsidRDefault="00AD74C2" w:rsidP="00AD74C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AD74C2" w:rsidRPr="00AD74C2" w:rsidRDefault="00AD74C2" w:rsidP="00AD74C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AD74C2" w:rsidRPr="00AD74C2" w:rsidRDefault="00AD74C2" w:rsidP="00AD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D74C2" w:rsidRPr="00AD74C2" w:rsidRDefault="00AD74C2" w:rsidP="00AD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AD74C2" w:rsidRPr="00AD74C2" w:rsidRDefault="00AD74C2" w:rsidP="00AD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AD74C2" w:rsidRPr="00AD74C2" w:rsidRDefault="00AD74C2" w:rsidP="00AD74C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AD74C2" w:rsidRPr="00AD74C2" w:rsidRDefault="00AD74C2" w:rsidP="00AD74C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AD74C2" w:rsidRPr="00AD74C2" w:rsidRDefault="00AD74C2" w:rsidP="00AD74C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AD74C2" w:rsidRPr="00AD74C2" w:rsidRDefault="00AD74C2" w:rsidP="00AD74C2"/>
    <w:p w:rsidR="00AD74C2" w:rsidRPr="00AD74C2" w:rsidRDefault="00AD74C2" w:rsidP="00AD74C2"/>
    <w:p w:rsidR="00AD74C2" w:rsidRPr="00AD74C2" w:rsidRDefault="00AD74C2" w:rsidP="00AD74C2">
      <w:pPr>
        <w:rPr>
          <w:b/>
        </w:rPr>
      </w:pPr>
    </w:p>
    <w:p w:rsidR="00AD74C2" w:rsidRPr="00AD74C2" w:rsidRDefault="00AD74C2" w:rsidP="00AD74C2">
      <w:pPr>
        <w:rPr>
          <w:b/>
        </w:rPr>
      </w:pPr>
    </w:p>
    <w:p w:rsidR="00AD74C2" w:rsidRPr="00AD74C2" w:rsidRDefault="00AD74C2" w:rsidP="00AD74C2">
      <w:pPr>
        <w:rPr>
          <w:b/>
        </w:rPr>
      </w:pPr>
    </w:p>
    <w:p w:rsidR="00AD74C2" w:rsidRPr="00AD74C2" w:rsidRDefault="00AD74C2" w:rsidP="00AD74C2">
      <w:pPr>
        <w:rPr>
          <w:b/>
        </w:rPr>
      </w:pPr>
    </w:p>
    <w:p w:rsidR="00AD74C2" w:rsidRPr="00AD74C2" w:rsidRDefault="00AD74C2" w:rsidP="00AD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AD74C2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AD74C2" w:rsidRPr="00AD74C2" w:rsidRDefault="00AD74C2" w:rsidP="00AD7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4C2" w:rsidRPr="00AD74C2" w:rsidRDefault="00AD74C2" w:rsidP="00AD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AD74C2" w:rsidRPr="00AD74C2" w:rsidRDefault="00AD74C2" w:rsidP="00AD74C2">
      <w:pPr>
        <w:spacing w:before="120" w:after="60" w:line="240" w:lineRule="auto"/>
        <w:jc w:val="center"/>
        <w:outlineLvl w:val="2"/>
        <w:rPr>
          <w:lang w:val="ru-RU"/>
        </w:rPr>
      </w:pPr>
      <w:r w:rsidRPr="00AD74C2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Pr="00AD74C2">
        <w:rPr>
          <w:rFonts w:ascii="Times New Roman" w:hAnsi="Times New Roman" w:cs="Times New Roman"/>
          <w:i/>
          <w:sz w:val="24"/>
          <w:szCs w:val="24"/>
        </w:rPr>
        <w:t>на цистит</w:t>
      </w:r>
      <w:r w:rsidRPr="00AD74C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AD74C2" w:rsidRPr="00AD74C2" w:rsidRDefault="00AD74C2" w:rsidP="00AD74C2"/>
    <w:p w:rsidR="00AD74C2" w:rsidRPr="00AD74C2" w:rsidRDefault="00AD74C2" w:rsidP="00AD74C2"/>
    <w:p w:rsidR="00AD74C2" w:rsidRPr="00AD74C2" w:rsidRDefault="00AD74C2" w:rsidP="00AD74C2"/>
    <w:p w:rsidR="00AD74C2" w:rsidRPr="00AD74C2" w:rsidRDefault="00AD74C2" w:rsidP="00AD74C2"/>
    <w:p w:rsidR="00AD74C2" w:rsidRPr="00AD74C2" w:rsidRDefault="00AD74C2" w:rsidP="00AD74C2">
      <w:pPr>
        <w:rPr>
          <w:lang w:val="ru-RU"/>
        </w:rPr>
      </w:pPr>
    </w:p>
    <w:p w:rsidR="00AD74C2" w:rsidRPr="00AD74C2" w:rsidRDefault="00AD74C2" w:rsidP="00AD74C2">
      <w:pPr>
        <w:rPr>
          <w:lang w:val="ru-RU"/>
        </w:rPr>
      </w:pPr>
    </w:p>
    <w:p w:rsidR="00AD74C2" w:rsidRPr="00AD74C2" w:rsidRDefault="00AD74C2" w:rsidP="00AD74C2"/>
    <w:p w:rsidR="00AD74C2" w:rsidRPr="00AD74C2" w:rsidRDefault="00AD74C2" w:rsidP="00AD74C2"/>
    <w:p w:rsidR="00AD74C2" w:rsidRPr="00AD74C2" w:rsidRDefault="00AD74C2" w:rsidP="00AD74C2"/>
    <w:p w:rsidR="00AD74C2" w:rsidRPr="00AD74C2" w:rsidRDefault="00AD74C2" w:rsidP="00AD74C2"/>
    <w:p w:rsidR="00AD74C2" w:rsidRDefault="00AD74C2" w:rsidP="00AD74C2">
      <w:pPr>
        <w:rPr>
          <w:lang w:val="ru-RU"/>
        </w:rPr>
      </w:pPr>
    </w:p>
    <w:p w:rsidR="00AD74C2" w:rsidRPr="00AD74C2" w:rsidRDefault="00AD74C2" w:rsidP="00AD74C2">
      <w:pPr>
        <w:rPr>
          <w:lang w:val="ru-RU"/>
        </w:rPr>
      </w:pPr>
    </w:p>
    <w:p w:rsidR="00AD74C2" w:rsidRPr="00AD74C2" w:rsidRDefault="00AD74C2" w:rsidP="00AD74C2"/>
    <w:p w:rsidR="00AD74C2" w:rsidRPr="00AD74C2" w:rsidRDefault="00AD74C2" w:rsidP="00AD74C2"/>
    <w:p w:rsidR="00AD74C2" w:rsidRPr="00AD74C2" w:rsidRDefault="00AD74C2" w:rsidP="00AD74C2"/>
    <w:p w:rsidR="00AD74C2" w:rsidRPr="00AD74C2" w:rsidRDefault="00AD74C2" w:rsidP="00AD74C2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AD74C2" w:rsidRPr="00AD74C2" w:rsidRDefault="00AD74C2" w:rsidP="00AD74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AD74C2">
        <w:rPr>
          <w:rFonts w:ascii="Times New Roman" w:hAnsi="Times New Roman" w:cs="Times New Roman"/>
          <w:i/>
          <w:sz w:val="24"/>
          <w:szCs w:val="24"/>
        </w:rPr>
        <w:t>Надання медичної допомоги хворим на цистит</w:t>
      </w:r>
      <w:r w:rsidRPr="00AD74C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AD74C2" w:rsidRPr="00AD74C2" w:rsidRDefault="00AD74C2" w:rsidP="00AD74C2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</w:rPr>
        <w:t xml:space="preserve"> Шифр </w:t>
      </w:r>
      <w:r w:rsidRPr="00AD74C2">
        <w:rPr>
          <w:rFonts w:ascii="Times New Roman" w:hAnsi="Times New Roman" w:cs="Times New Roman"/>
          <w:b/>
          <w:sz w:val="24"/>
          <w:szCs w:val="24"/>
        </w:rPr>
        <w:t>МКХ -10:</w:t>
      </w:r>
      <w:r w:rsidRPr="00AD74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N 30</w:t>
      </w:r>
    </w:p>
    <w:p w:rsidR="00AD74C2" w:rsidRPr="00AD74C2" w:rsidRDefault="00AD74C2" w:rsidP="00AD74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AD74C2" w:rsidRPr="00AD74C2" w:rsidRDefault="00AD74C2" w:rsidP="00AD74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AD74C2" w:rsidRPr="00AD74C2" w:rsidRDefault="00AD74C2" w:rsidP="00AD74C2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AD74C2" w:rsidRPr="00AD74C2" w:rsidRDefault="00AD74C2" w:rsidP="00AD74C2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AD74C2" w:rsidRPr="00AD74C2" w:rsidTr="00A613AF">
        <w:tc>
          <w:tcPr>
            <w:tcW w:w="4851" w:type="dxa"/>
          </w:tcPr>
          <w:p w:rsidR="00AD74C2" w:rsidRPr="00AD74C2" w:rsidRDefault="00AD74C2" w:rsidP="00AD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AD74C2" w:rsidRPr="00AD74C2" w:rsidRDefault="00AD74C2" w:rsidP="00AD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AD74C2" w:rsidRPr="00AD74C2" w:rsidTr="00A613AF">
        <w:tc>
          <w:tcPr>
            <w:tcW w:w="4851" w:type="dxa"/>
          </w:tcPr>
          <w:p w:rsidR="00AD74C2" w:rsidRPr="00AD74C2" w:rsidRDefault="00AD74C2" w:rsidP="00AD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Марія Дмитрівна</w:t>
            </w:r>
          </w:p>
        </w:tc>
        <w:tc>
          <w:tcPr>
            <w:tcW w:w="4644" w:type="dxa"/>
          </w:tcPr>
          <w:p w:rsidR="00AD74C2" w:rsidRPr="00AD74C2" w:rsidRDefault="00AD74C2" w:rsidP="00AD74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Лікар-уролог</w:t>
            </w:r>
          </w:p>
        </w:tc>
      </w:tr>
    </w:tbl>
    <w:p w:rsidR="00AD74C2" w:rsidRPr="00AD74C2" w:rsidRDefault="00AD74C2" w:rsidP="00AD74C2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AD74C2" w:rsidRPr="00AD74C2" w:rsidRDefault="00AD74C2" w:rsidP="00AD74C2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4C2" w:rsidRPr="00AD74C2" w:rsidRDefault="00AD74C2" w:rsidP="00AD74C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МОЗ України від 06.12.2004 № 604 Про затвердження клінічн</w:t>
      </w:r>
      <w:r w:rsidR="00A965AD">
        <w:rPr>
          <w:rFonts w:ascii="Times New Roman" w:hAnsi="Times New Roman" w:cs="Times New Roman"/>
          <w:b/>
          <w:sz w:val="24"/>
          <w:szCs w:val="24"/>
        </w:rPr>
        <w:t xml:space="preserve">их протоколів за спеціальністю </w:t>
      </w:r>
      <w:r w:rsidR="00A965A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A965AD">
        <w:rPr>
          <w:rFonts w:ascii="Times New Roman" w:hAnsi="Times New Roman" w:cs="Times New Roman"/>
          <w:b/>
          <w:sz w:val="24"/>
          <w:szCs w:val="24"/>
        </w:rPr>
        <w:t>Урологія</w:t>
      </w:r>
      <w:r w:rsidR="00A965AD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bookmarkStart w:id="0" w:name="_GoBack"/>
      <w:bookmarkEnd w:id="0"/>
      <w:r w:rsidRPr="00AD74C2">
        <w:rPr>
          <w:rFonts w:ascii="Times New Roman" w:hAnsi="Times New Roman" w:cs="Times New Roman"/>
          <w:b/>
          <w:sz w:val="24"/>
          <w:szCs w:val="24"/>
        </w:rPr>
        <w:t>;</w:t>
      </w:r>
    </w:p>
    <w:p w:rsidR="00AD74C2" w:rsidRPr="00AD74C2" w:rsidRDefault="00AD74C2" w:rsidP="00AD74C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AD74C2" w:rsidRPr="00AD74C2" w:rsidRDefault="00AD74C2" w:rsidP="00AD74C2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AD74C2" w:rsidRPr="00AD74C2" w:rsidRDefault="00AD74C2" w:rsidP="00AD74C2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4C2" w:rsidRPr="00AD74C2" w:rsidRDefault="00AD74C2" w:rsidP="00AD74C2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AD74C2" w:rsidRPr="00AD74C2" w:rsidRDefault="00AD74C2" w:rsidP="00AD74C2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AD74C2" w:rsidRPr="00AD74C2" w:rsidTr="00A613AF">
        <w:tc>
          <w:tcPr>
            <w:tcW w:w="1668" w:type="dxa"/>
          </w:tcPr>
          <w:p w:rsidR="00AD74C2" w:rsidRPr="00AD74C2" w:rsidRDefault="00AD74C2" w:rsidP="00AD74C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AD74C2" w:rsidRPr="00AD74C2" w:rsidRDefault="00AD74C2" w:rsidP="00AD74C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AD74C2" w:rsidRPr="00AD74C2" w:rsidRDefault="00AD74C2" w:rsidP="00AD74C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AD74C2" w:rsidRPr="00AD74C2" w:rsidRDefault="00AD74C2" w:rsidP="00AD74C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AD74C2" w:rsidRPr="00AD74C2" w:rsidRDefault="00AD74C2" w:rsidP="00AD74C2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AD74C2" w:rsidRPr="00AD74C2" w:rsidTr="00A613AF">
        <w:tc>
          <w:tcPr>
            <w:tcW w:w="1668" w:type="dxa"/>
          </w:tcPr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852503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лікарем-урологом</w:t>
            </w:r>
            <w:r w:rsidR="00AD74C2"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-уролога</w:t>
            </w: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852503">
              <w:rPr>
                <w:rFonts w:ascii="Times New Roman" w:hAnsi="Times New Roman" w:cs="Times New Roman"/>
                <w:sz w:val="24"/>
                <w:szCs w:val="24"/>
              </w:rPr>
              <w:t>-урологом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AD74C2" w:rsidRPr="00AD74C2" w:rsidRDefault="00AD74C2" w:rsidP="00AD74C2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D74C2" w:rsidRPr="00AD74C2" w:rsidRDefault="00AD74C2" w:rsidP="00AD74C2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843" w:type="dxa"/>
          </w:tcPr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AD74C2" w:rsidRPr="00AD74C2" w:rsidTr="00A613AF">
        <w:tc>
          <w:tcPr>
            <w:tcW w:w="1668" w:type="dxa"/>
          </w:tcPr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2F1033" w:rsidRPr="002F1033" w:rsidRDefault="002F1033" w:rsidP="002F10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Клінічні симптоми: часте і болюче сечовипускання з імперативними позивами та </w:t>
            </w:r>
            <w:proofErr w:type="spellStart"/>
            <w:r w:rsidRPr="002F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невтриманням</w:t>
            </w:r>
            <w:proofErr w:type="spellEnd"/>
            <w:r w:rsidRPr="002F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сечі, болі в ділянці сечового міхура (лобкова ділянка та промежина) та сечівника.</w:t>
            </w:r>
          </w:p>
          <w:p w:rsidR="00AD74C2" w:rsidRPr="00AD74C2" w:rsidRDefault="00AD74C2" w:rsidP="00AD74C2">
            <w:pPr>
              <w:tabs>
                <w:tab w:val="left" w:pos="175"/>
              </w:tabs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Лабораторне дослідження хворих на цистит включає:</w:t>
            </w:r>
          </w:p>
          <w:p w:rsidR="00AD74C2" w:rsidRPr="00AD74C2" w:rsidRDefault="00AD74C2" w:rsidP="00AD74C2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крові;</w:t>
            </w:r>
          </w:p>
          <w:p w:rsidR="00AD74C2" w:rsidRPr="00AD74C2" w:rsidRDefault="00AD74C2" w:rsidP="00AD74C2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загальний аналіз сечі (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бактеріурія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лейкоцитурія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еритроцитурія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Лейкоцитурія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виявляється у всіх порціях сечі. Відсутність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лейкоцитурії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являється протиріччям діагнозу гострого циститу і ставить його під сумнів. Але при шийковому циститі вона може бути відсутня;</w:t>
            </w:r>
          </w:p>
          <w:p w:rsidR="00AD74C2" w:rsidRPr="00AD74C2" w:rsidRDefault="00AD74C2" w:rsidP="00AD74C2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3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бактеріологічне дослідження при гострому циститі, коли збудники та профілі їх  антимікробної чутливості передбачувані, не обов’язкове, при хронічному - обов’язкове.  Традиційний стандарт для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діагностично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значимої 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бактеріурії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3"/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5 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КУО/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встановлений більше сорока років тому.  Більш пізні дослідження показали, що такий стандарт не відповідає практичним вимогам, якщо його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застосовувать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випадках гострого інфекційно-запального процесу. Так, майже від однієї третини до половини випадків гострого циститу демонструють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бактеріурію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менше 10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КУО/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Для практичних   цілей   необхідно   використовувати   кількість   колоній  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3"/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КУО/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для діагностики гострого циститу.</w:t>
            </w:r>
          </w:p>
          <w:p w:rsidR="00AD74C2" w:rsidRPr="00AD74C2" w:rsidRDefault="00AD74C2" w:rsidP="00AD74C2">
            <w:pPr>
              <w:tabs>
                <w:tab w:val="left" w:pos="175"/>
              </w:tabs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Для діагностики циститу застосовують:</w:t>
            </w:r>
          </w:p>
          <w:p w:rsidR="00AD74C2" w:rsidRPr="00AD74C2" w:rsidRDefault="00AD74C2" w:rsidP="00AD74C2">
            <w:pPr>
              <w:tabs>
                <w:tab w:val="left" w:pos="175"/>
              </w:tabs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УЗД  для оцінки стану 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нирок, сечоводів,  сечового міхура і простати;</w:t>
            </w:r>
          </w:p>
          <w:p w:rsidR="00AD74C2" w:rsidRPr="00AD74C2" w:rsidRDefault="00AD74C2" w:rsidP="00AD74C2">
            <w:pPr>
              <w:tabs>
                <w:tab w:val="left" w:pos="175"/>
              </w:tabs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екскреторна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урографія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виконується тільки у випадках хронічного   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циститу та затяжних випадках гострого циститу;</w:t>
            </w:r>
          </w:p>
          <w:p w:rsidR="00AD74C2" w:rsidRPr="00AD74C2" w:rsidRDefault="00AD74C2" w:rsidP="00AD74C2">
            <w:pPr>
              <w:tabs>
                <w:tab w:val="left" w:pos="175"/>
              </w:tabs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-  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цистоскопія також проводиться тільки при хронічному циститі. Інструментальні дослідження при гострому циститі протипоказані і виконуються тільки при затяжному перебігу запального процесу (більш 2-3 тижнів). Також цистоскопія показана після регресу симптомів гострого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геморагічного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циститу.</w:t>
            </w:r>
          </w:p>
          <w:p w:rsidR="00AD74C2" w:rsidRPr="00AD74C2" w:rsidRDefault="00AD74C2" w:rsidP="00AD74C2">
            <w:pPr>
              <w:tabs>
                <w:tab w:val="left" w:pos="175"/>
              </w:tabs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жінок з хронічним циститом обов’язкова консультація гінеколога та обстеження на захворювання, що передаються статевим шляхом.</w:t>
            </w:r>
          </w:p>
          <w:p w:rsidR="00AD74C2" w:rsidRPr="00AD74C2" w:rsidRDefault="00AD74C2" w:rsidP="00AD74C2">
            <w:pPr>
              <w:tabs>
                <w:tab w:val="left" w:pos="175"/>
              </w:tabs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гострому циститі у жінок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язкові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огляд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наружного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отвору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сечівника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вагінальне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обстеження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наявності вагінальних та уретральних виділень,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герпетичних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ерозій, запаху, гіперемії хворі підлягають обстеженню у гінеколога на ЗПСШ.</w:t>
            </w:r>
          </w:p>
          <w:p w:rsidR="00AD74C2" w:rsidRPr="00AD74C2" w:rsidRDefault="00AD74C2" w:rsidP="00AD74C2">
            <w:pPr>
              <w:tabs>
                <w:tab w:val="left" w:pos="175"/>
              </w:tabs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Диференціальна діагностика при гострому циститі проводиться з: туберкульозом, особливо при асептичній 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піурії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раком сечового міхура, доброякісною  гіперплазією і раком простати, каменем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інтрамурального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відділу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сечовода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захворюваннями сечівника,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міхурово-сечівникового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сегменту, дивертикулом сечового міхура, нейрогенною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дисфункцією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сечового міхура, захворюваннями органів тазу.</w:t>
            </w:r>
          </w:p>
          <w:p w:rsidR="00AD74C2" w:rsidRPr="00852503" w:rsidRDefault="00AD74C2" w:rsidP="00AD74C2">
            <w:pPr>
              <w:tabs>
                <w:tab w:val="left" w:pos="175"/>
              </w:tabs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симптомокомплексом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гострого циститу може протікати гострий апендицит при тазовому положенні червоподібного відростку. Спостерігаються дизурія,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мікрогематурія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незначна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лейкоцитурія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5-10  у полі зору.  Але гострий цистит не супроводжується змінами в формулі крові, лейкоцитозом.</w:t>
            </w:r>
          </w:p>
          <w:p w:rsidR="00AD74C2" w:rsidRPr="00852503" w:rsidRDefault="00AD74C2" w:rsidP="00AD74C2">
            <w:pPr>
              <w:tabs>
                <w:tab w:val="left" w:pos="175"/>
              </w:tabs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3" w:type="dxa"/>
          </w:tcPr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AD74C2" w:rsidRPr="00AD74C2" w:rsidTr="00A613AF">
        <w:tc>
          <w:tcPr>
            <w:tcW w:w="1668" w:type="dxa"/>
          </w:tcPr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260" w:type="dxa"/>
          </w:tcPr>
          <w:p w:rsidR="00AD74C2" w:rsidRPr="00AD74C2" w:rsidRDefault="00AD74C2" w:rsidP="00AD7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Лікування гострого циститу може бути як амбулаторне, так і в умовах стаціонару,  спрямоване на ліквідацію ряду етіологічних та патогенетичних факторів.</w:t>
            </w:r>
          </w:p>
          <w:p w:rsidR="00AD74C2" w:rsidRPr="00AD74C2" w:rsidRDefault="00AD74C2" w:rsidP="00AD7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Хворим призначають спокій, молочно-рослинну дієту з виключенням гострих приправ, консервів, м’ясних  відварів, прийом достатньої кількості рідини (сечогінні трави, чай, мінеральна вода, ягідні морси,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кіселі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Показані (крім випадків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геморагічного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циститу) теплові процедури – сидячі ванни, грілка, теплові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мікроклізми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спринцевання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відварами трав, фізіотерапевтичні процедури.</w:t>
            </w:r>
          </w:p>
          <w:p w:rsidR="00AD74C2" w:rsidRPr="00AD74C2" w:rsidRDefault="00AD74C2" w:rsidP="00AD7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більшості випадків застосовують знеболюючі та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спазмолітичні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засоби.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Макрогематурію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геморагічному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циститі лікують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гемостатиками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74C2" w:rsidRPr="00AD74C2" w:rsidRDefault="00AD74C2" w:rsidP="00AD7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Велике значення має антибактеріальна терапія. Для лікування хронічного циститу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язковий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контроль за флорою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сечі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висівається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та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чутливістю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антибіотиків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AD74C2" w:rsidRPr="00AD74C2" w:rsidRDefault="00AD74C2" w:rsidP="00AD7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Інстиляції сечового міхура показані тільки при затяжних циститах, ліквідації залишкових явищ гострого циститу, при хронічному циститі,  для регенерації слизової оболонки сечового </w:t>
            </w: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міхура при хімічному, термічному та променевому циститах. Для інстиляцій використовують 2 % колоїдний розчин коларголу (для знеболюючого ефекту – у суміші з 0,5-1 %  новокаїном), лікувальні олії з шипшини, обліпихи, суміш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ектерициду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 гідрокортизоном, суміш гідрокортизону 2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димексиду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10-20 % - 10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10-20 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0,5-1 % новокаїну.</w:t>
            </w:r>
          </w:p>
          <w:p w:rsidR="00AD74C2" w:rsidRPr="00AD74C2" w:rsidRDefault="00AD74C2" w:rsidP="00AD74C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некротичному циститі показано раннє оперативне втручання –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цистостомія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видалення некротичних тканин з дренуванням </w:t>
            </w:r>
            <w:proofErr w:type="spellStart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паравезікального</w:t>
            </w:r>
            <w:proofErr w:type="spellEnd"/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простору. У післяопераційному періоді проводиться постійне зрошення порожнини сечового міхура розчинами антисептиків.</w:t>
            </w:r>
          </w:p>
        </w:tc>
        <w:tc>
          <w:tcPr>
            <w:tcW w:w="1843" w:type="dxa"/>
          </w:tcPr>
          <w:p w:rsidR="00AD74C2" w:rsidRPr="00852503" w:rsidRDefault="00AD74C2" w:rsidP="00AD7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середньому при раціональній  і  своєчасно розпочатій терапії явища гострого катарального циститу регресують протягом 2-3 діб, більш важкі форми -  до 2 тижнів. Більш тривалий перебіг захворювання повинен розцінюватись як затяжний і вимагати ретельного рентгенологічного, інструментального обстеження, гінекологічного огляду, дослідження передміхурової залози.</w:t>
            </w:r>
          </w:p>
          <w:p w:rsidR="002F1033" w:rsidRPr="00AD74C2" w:rsidRDefault="002F1033" w:rsidP="00AD7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755">
              <w:rPr>
                <w:rFonts w:ascii="Times New Roman" w:hAnsi="Times New Roman" w:cs="Times New Roman"/>
                <w:sz w:val="24"/>
                <w:szCs w:val="24"/>
              </w:rPr>
              <w:t>Антибактеріальна  терапія</w:t>
            </w:r>
            <w:r w:rsidRPr="004067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406755">
              <w:rPr>
                <w:rFonts w:ascii="Times New Roman" w:hAnsi="Times New Roman" w:cs="Times New Roman"/>
                <w:sz w:val="24"/>
                <w:szCs w:val="24"/>
              </w:rPr>
              <w:t>2-14  діб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AD74C2" w:rsidRPr="00852503" w:rsidRDefault="002F1033" w:rsidP="00AD74C2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3">
              <w:rPr>
                <w:rFonts w:ascii="Times New Roman" w:hAnsi="Times New Roman" w:cs="Times New Roman"/>
                <w:sz w:val="24"/>
                <w:szCs w:val="24"/>
              </w:rPr>
              <w:t>Зникнення болю і дизурії. Нормалізація  аналізів сечі</w:t>
            </w:r>
            <w:r w:rsidRPr="00852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74C2" w:rsidRPr="00AD74C2" w:rsidTr="00A613AF">
        <w:tc>
          <w:tcPr>
            <w:tcW w:w="1668" w:type="dxa"/>
          </w:tcPr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AD74C2" w:rsidRPr="00AD74C2" w:rsidRDefault="00AD74C2" w:rsidP="00AD74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Диспансерному нагляду підлягають тільки хворі з хронічним циститом. Після завершення стаціонарного етапу лікування хворий направляється у поліклініку за місцем проживання під диспансерний нагляд уролога протягом 3 років. Критерії зняття з диспансерного обліку: стійка клініко-лабораторна ремісія за даними загального аналізу та бактеріологічного дослідження сечі. Кратність обстеження – 1 раз  на  рік.</w:t>
            </w:r>
          </w:p>
        </w:tc>
        <w:tc>
          <w:tcPr>
            <w:tcW w:w="1843" w:type="dxa"/>
          </w:tcPr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D74C2" w:rsidRPr="00AD74C2" w:rsidRDefault="00AD74C2" w:rsidP="00AD74C2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AD74C2" w:rsidRPr="00AD74C2" w:rsidTr="00A613AF">
        <w:trPr>
          <w:trHeight w:val="212"/>
        </w:trPr>
        <w:tc>
          <w:tcPr>
            <w:tcW w:w="1668" w:type="dxa"/>
          </w:tcPr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AD74C2" w:rsidRPr="002F1033" w:rsidRDefault="00AD74C2" w:rsidP="002F1033">
            <w:pPr>
              <w:pStyle w:val="a4"/>
              <w:numPr>
                <w:ilvl w:val="0"/>
                <w:numId w:val="7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ефективне лікування гострого циститу;</w:t>
            </w:r>
          </w:p>
          <w:p w:rsidR="00AD74C2" w:rsidRPr="00AD74C2" w:rsidRDefault="00AD74C2" w:rsidP="00AD74C2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своєчасне лікування захворювань, що передаються статевим шляхом, та  запальних захворювань статевих органів;</w:t>
            </w:r>
          </w:p>
          <w:p w:rsidR="00AD74C2" w:rsidRPr="00AD74C2" w:rsidRDefault="00AD74C2" w:rsidP="00AD74C2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санація запальних процесів у нирках, сечовивідних шляхах, своєчасне виявлення причин порушення пасажу сечі;</w:t>
            </w:r>
          </w:p>
          <w:p w:rsidR="00AD74C2" w:rsidRPr="00AD74C2" w:rsidRDefault="00AD74C2" w:rsidP="00AD74C2">
            <w:pPr>
              <w:numPr>
                <w:ilvl w:val="0"/>
                <w:numId w:val="6"/>
              </w:numPr>
              <w:tabs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7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суворе дотримання правил асептики і антисептики при катетеризації та інструментальному дослідженні сечового міхура.</w:t>
            </w:r>
          </w:p>
        </w:tc>
        <w:tc>
          <w:tcPr>
            <w:tcW w:w="1843" w:type="dxa"/>
          </w:tcPr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74C2" w:rsidRPr="00AD74C2" w:rsidRDefault="00AD74C2" w:rsidP="00AD74C2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4C2" w:rsidRPr="00AD74C2" w:rsidRDefault="00AD74C2" w:rsidP="00AD7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AD74C2" w:rsidRPr="00AD74C2" w:rsidRDefault="00AD74C2" w:rsidP="00AD74C2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4C2" w:rsidRPr="00AD74C2" w:rsidRDefault="00AD74C2" w:rsidP="00AD74C2"/>
    <w:p w:rsidR="00CC4487" w:rsidRDefault="00CC4487"/>
    <w:sectPr w:rsidR="00CC4487" w:rsidSect="008302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965"/>
    <w:multiLevelType w:val="hybridMultilevel"/>
    <w:tmpl w:val="8E54942C"/>
    <w:lvl w:ilvl="0" w:tplc="CCC6455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278032F"/>
    <w:multiLevelType w:val="hybridMultilevel"/>
    <w:tmpl w:val="A012470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51AE4EAB"/>
    <w:multiLevelType w:val="hybridMultilevel"/>
    <w:tmpl w:val="591260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0801C9C"/>
    <w:multiLevelType w:val="hybridMultilevel"/>
    <w:tmpl w:val="3654B390"/>
    <w:lvl w:ilvl="0" w:tplc="1C205560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D795E7B"/>
    <w:multiLevelType w:val="hybridMultilevel"/>
    <w:tmpl w:val="23109672"/>
    <w:lvl w:ilvl="0" w:tplc="39503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74C2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1033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029E"/>
    <w:rsid w:val="008317BA"/>
    <w:rsid w:val="008420DC"/>
    <w:rsid w:val="00843003"/>
    <w:rsid w:val="0085027C"/>
    <w:rsid w:val="00852503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5AD"/>
    <w:rsid w:val="00A96605"/>
    <w:rsid w:val="00AB1097"/>
    <w:rsid w:val="00AB351A"/>
    <w:rsid w:val="00AC290F"/>
    <w:rsid w:val="00AD35DB"/>
    <w:rsid w:val="00AD3FCC"/>
    <w:rsid w:val="00AD74C2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5128</Words>
  <Characters>2923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2015-02-24T12:10:00Z</dcterms:created>
  <dcterms:modified xsi:type="dcterms:W3CDTF">2015-03-16T14:56:00Z</dcterms:modified>
</cp:coreProperties>
</file>